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F341" w14:textId="7EEEC82E" w:rsidR="00AB124C" w:rsidRPr="00AB124C" w:rsidRDefault="00AB124C" w:rsidP="00AB124C">
      <w:pPr>
        <w:jc w:val="both"/>
        <w:rPr>
          <w:b/>
          <w:lang w:val="en-US"/>
        </w:rPr>
      </w:pPr>
    </w:p>
    <w:p w14:paraId="4A8909B0" w14:textId="77777777" w:rsidR="00A6728A" w:rsidRPr="00AB124C" w:rsidRDefault="00A6728A" w:rsidP="009716EA">
      <w:pPr>
        <w:jc w:val="center"/>
        <w:rPr>
          <w:b/>
          <w:lang w:val="en-US"/>
        </w:rPr>
      </w:pPr>
      <w:r w:rsidRPr="00AB124C">
        <w:rPr>
          <w:b/>
          <w:lang w:val="en-US"/>
        </w:rPr>
        <w:t>GOSPORT BOROUGH COUNCIL (GBC)</w:t>
      </w:r>
    </w:p>
    <w:p w14:paraId="06456F32" w14:textId="77777777" w:rsidR="00A6728A" w:rsidRPr="00AB124C" w:rsidRDefault="00A6728A" w:rsidP="009716EA">
      <w:pPr>
        <w:jc w:val="center"/>
        <w:rPr>
          <w:b/>
          <w:lang w:val="en-US"/>
        </w:rPr>
      </w:pPr>
    </w:p>
    <w:p w14:paraId="30C784DE" w14:textId="77777777" w:rsidR="008320E9" w:rsidRPr="00AB124C" w:rsidRDefault="00C00D19" w:rsidP="009716EA">
      <w:pPr>
        <w:jc w:val="center"/>
        <w:rPr>
          <w:b/>
          <w:lang w:val="en-US"/>
        </w:rPr>
      </w:pPr>
      <w:r w:rsidRPr="00AB124C">
        <w:rPr>
          <w:b/>
          <w:lang w:val="en-US"/>
        </w:rPr>
        <w:t>INVITATION TO QUOTE (ITQ)</w:t>
      </w:r>
    </w:p>
    <w:p w14:paraId="7140F8DC" w14:textId="77777777" w:rsidR="00C00D19" w:rsidRPr="00AB124C" w:rsidRDefault="00C00D19" w:rsidP="009716EA">
      <w:pPr>
        <w:jc w:val="center"/>
        <w:rPr>
          <w:b/>
          <w:lang w:val="en-US"/>
        </w:rPr>
      </w:pPr>
    </w:p>
    <w:p w14:paraId="7AD38588" w14:textId="7D5F73BA" w:rsidR="007A0641" w:rsidRDefault="00C00D19" w:rsidP="009716EA">
      <w:pPr>
        <w:jc w:val="center"/>
        <w:rPr>
          <w:b/>
          <w:color w:val="auto"/>
          <w:lang w:val="en-US"/>
        </w:rPr>
      </w:pPr>
      <w:r w:rsidRPr="00AB124C">
        <w:rPr>
          <w:b/>
          <w:lang w:val="en-US"/>
        </w:rPr>
        <w:t xml:space="preserve">PUBLISHED: </w:t>
      </w:r>
      <w:r w:rsidR="005432E8">
        <w:rPr>
          <w:b/>
          <w:color w:val="auto"/>
          <w:lang w:val="en-US"/>
        </w:rPr>
        <w:t>12</w:t>
      </w:r>
      <w:r w:rsidR="009C6330">
        <w:rPr>
          <w:b/>
          <w:color w:val="auto"/>
          <w:vertAlign w:val="superscript"/>
          <w:lang w:val="en-US"/>
        </w:rPr>
        <w:t xml:space="preserve">TH </w:t>
      </w:r>
      <w:r w:rsidR="009C6330">
        <w:rPr>
          <w:b/>
          <w:color w:val="auto"/>
          <w:lang w:val="en-US"/>
        </w:rPr>
        <w:t xml:space="preserve">MARCH </w:t>
      </w:r>
      <w:r w:rsidR="00D41D8C" w:rsidRPr="00D41D8C">
        <w:rPr>
          <w:b/>
          <w:color w:val="auto"/>
          <w:lang w:val="en-US"/>
        </w:rPr>
        <w:t>2024</w:t>
      </w:r>
      <w:r w:rsidRPr="00D41D8C">
        <w:rPr>
          <w:b/>
          <w:color w:val="auto"/>
          <w:lang w:val="en-US"/>
        </w:rPr>
        <w:t xml:space="preserve"> </w:t>
      </w:r>
    </w:p>
    <w:p w14:paraId="51E79EFB" w14:textId="77777777" w:rsidR="007A0641" w:rsidRDefault="007A0641" w:rsidP="009716EA">
      <w:pPr>
        <w:jc w:val="center"/>
        <w:rPr>
          <w:b/>
          <w:lang w:val="en-US"/>
        </w:rPr>
      </w:pPr>
    </w:p>
    <w:p w14:paraId="13F81AB3" w14:textId="396FECD0" w:rsidR="00C00D19" w:rsidRPr="007A0641" w:rsidRDefault="007A0641" w:rsidP="007A0641">
      <w:pPr>
        <w:jc w:val="center"/>
        <w:rPr>
          <w:b/>
          <w:lang w:val="en-US"/>
        </w:rPr>
      </w:pPr>
      <w:r>
        <w:rPr>
          <w:b/>
          <w:lang w:val="en-US"/>
        </w:rPr>
        <w:t>F</w:t>
      </w:r>
      <w:r w:rsidR="00C00D19" w:rsidRPr="00AB124C">
        <w:rPr>
          <w:b/>
          <w:lang w:val="en-US"/>
        </w:rPr>
        <w:t>OR:</w:t>
      </w:r>
      <w:r>
        <w:rPr>
          <w:b/>
          <w:lang w:val="en-US"/>
        </w:rPr>
        <w:t xml:space="preserve"> </w:t>
      </w:r>
      <w:r w:rsidR="000D084B" w:rsidRPr="000D084B">
        <w:rPr>
          <w:b/>
          <w:color w:val="auto"/>
          <w:lang w:val="en-US"/>
        </w:rPr>
        <w:t>LONE WORKER DEVICE</w:t>
      </w:r>
      <w:r w:rsidR="00A554CC">
        <w:rPr>
          <w:b/>
          <w:color w:val="auto"/>
          <w:lang w:val="en-US"/>
        </w:rPr>
        <w:t>S</w:t>
      </w:r>
    </w:p>
    <w:p w14:paraId="3024F98E" w14:textId="77777777" w:rsidR="00C00D19" w:rsidRPr="00AB124C" w:rsidRDefault="00C00D19" w:rsidP="009716EA">
      <w:pPr>
        <w:jc w:val="center"/>
        <w:rPr>
          <w:b/>
          <w:lang w:val="en-US"/>
        </w:rPr>
      </w:pPr>
    </w:p>
    <w:p w14:paraId="15867CBA" w14:textId="08FCA42B" w:rsidR="00C00D19" w:rsidRPr="00AB124C" w:rsidRDefault="00C00D19" w:rsidP="009716EA">
      <w:pPr>
        <w:jc w:val="center"/>
        <w:rPr>
          <w:b/>
          <w:lang w:val="en-US"/>
        </w:rPr>
      </w:pPr>
      <w:r w:rsidRPr="00AB124C">
        <w:rPr>
          <w:b/>
          <w:lang w:val="en-US"/>
        </w:rPr>
        <w:t xml:space="preserve">RESPONSE DEADLINE: </w:t>
      </w:r>
      <w:r w:rsidR="00D41D8C" w:rsidRPr="00D41D8C">
        <w:rPr>
          <w:b/>
          <w:color w:val="auto"/>
          <w:lang w:val="en-US"/>
        </w:rPr>
        <w:t xml:space="preserve">12:00PM, </w:t>
      </w:r>
      <w:r w:rsidR="005432E8">
        <w:rPr>
          <w:b/>
          <w:color w:val="auto"/>
          <w:lang w:val="en-US"/>
        </w:rPr>
        <w:t>9</w:t>
      </w:r>
      <w:r w:rsidR="009C6330" w:rsidRPr="009C6330">
        <w:rPr>
          <w:b/>
          <w:color w:val="auto"/>
          <w:vertAlign w:val="superscript"/>
          <w:lang w:val="en-US"/>
        </w:rPr>
        <w:t>TH</w:t>
      </w:r>
      <w:r w:rsidR="009C6330">
        <w:rPr>
          <w:b/>
          <w:color w:val="auto"/>
          <w:lang w:val="en-US"/>
        </w:rPr>
        <w:t xml:space="preserve"> APRIL </w:t>
      </w:r>
      <w:r w:rsidR="00D41D8C" w:rsidRPr="00D41D8C">
        <w:rPr>
          <w:b/>
          <w:color w:val="auto"/>
          <w:lang w:val="en-US"/>
        </w:rPr>
        <w:t>2024</w:t>
      </w:r>
    </w:p>
    <w:p w14:paraId="636BB1A0"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358A40F6" w14:textId="77777777" w:rsidR="00C00D19" w:rsidRPr="00AB124C" w:rsidRDefault="00C00D19" w:rsidP="00AB124C">
          <w:pPr>
            <w:pStyle w:val="TOCHeading"/>
            <w:jc w:val="both"/>
            <w:rPr>
              <w:rFonts w:cs="Arial"/>
              <w:szCs w:val="24"/>
            </w:rPr>
          </w:pPr>
          <w:r w:rsidRPr="00AB124C">
            <w:rPr>
              <w:rFonts w:cs="Arial"/>
              <w:szCs w:val="24"/>
            </w:rPr>
            <w:t>Contents</w:t>
          </w:r>
        </w:p>
        <w:p w14:paraId="13EADE2F" w14:textId="77777777" w:rsidR="00A76F29" w:rsidRPr="00AB124C" w:rsidRDefault="00A76F29" w:rsidP="00AB124C">
          <w:pPr>
            <w:jc w:val="both"/>
            <w:rPr>
              <w:lang w:val="en-US"/>
            </w:rPr>
          </w:pPr>
        </w:p>
        <w:p w14:paraId="71892660" w14:textId="6404BDB8" w:rsidR="00A554CC" w:rsidRDefault="00C00D19">
          <w:pPr>
            <w:pStyle w:val="TOC1"/>
            <w:tabs>
              <w:tab w:val="left" w:pos="480"/>
              <w:tab w:val="right" w:leader="dot" w:pos="9016"/>
            </w:tabs>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60714155" w:history="1">
            <w:r w:rsidR="00A554CC" w:rsidRPr="00E436EC">
              <w:rPr>
                <w:rStyle w:val="Hyperlink"/>
                <w:noProof/>
                <w:lang w:val="en-US"/>
              </w:rPr>
              <w:t>1.</w:t>
            </w:r>
            <w:r w:rsidR="00A554CC">
              <w:rPr>
                <w:rFonts w:asciiTheme="minorHAnsi" w:eastAsiaTheme="minorEastAsia" w:hAnsiTheme="minorHAnsi" w:cstheme="minorBidi"/>
                <w:noProof/>
                <w:color w:val="auto"/>
                <w:sz w:val="22"/>
                <w:szCs w:val="22"/>
                <w:lang w:eastAsia="en-GB"/>
              </w:rPr>
              <w:tab/>
            </w:r>
            <w:r w:rsidR="00A554CC" w:rsidRPr="00E436EC">
              <w:rPr>
                <w:rStyle w:val="Hyperlink"/>
                <w:noProof/>
                <w:lang w:val="en-US"/>
              </w:rPr>
              <w:t>Introduction</w:t>
            </w:r>
            <w:r w:rsidR="00A554CC">
              <w:rPr>
                <w:noProof/>
                <w:webHidden/>
              </w:rPr>
              <w:tab/>
            </w:r>
            <w:r w:rsidR="00A554CC">
              <w:rPr>
                <w:noProof/>
                <w:webHidden/>
              </w:rPr>
              <w:fldChar w:fldCharType="begin"/>
            </w:r>
            <w:r w:rsidR="00A554CC">
              <w:rPr>
                <w:noProof/>
                <w:webHidden/>
              </w:rPr>
              <w:instrText xml:space="preserve"> PAGEREF _Toc160714155 \h </w:instrText>
            </w:r>
            <w:r w:rsidR="00A554CC">
              <w:rPr>
                <w:noProof/>
                <w:webHidden/>
              </w:rPr>
            </w:r>
            <w:r w:rsidR="00A554CC">
              <w:rPr>
                <w:noProof/>
                <w:webHidden/>
              </w:rPr>
              <w:fldChar w:fldCharType="separate"/>
            </w:r>
            <w:r w:rsidR="00A554CC">
              <w:rPr>
                <w:noProof/>
                <w:webHidden/>
              </w:rPr>
              <w:t>2</w:t>
            </w:r>
            <w:r w:rsidR="00A554CC">
              <w:rPr>
                <w:noProof/>
                <w:webHidden/>
              </w:rPr>
              <w:fldChar w:fldCharType="end"/>
            </w:r>
          </w:hyperlink>
        </w:p>
        <w:p w14:paraId="35922158" w14:textId="16F83835"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56" w:history="1">
            <w:r w:rsidRPr="00E436EC">
              <w:rPr>
                <w:rStyle w:val="Hyperlink"/>
                <w:noProof/>
                <w:lang w:val="en-US"/>
              </w:rPr>
              <w:t>2.</w:t>
            </w:r>
            <w:r>
              <w:rPr>
                <w:rFonts w:asciiTheme="minorHAnsi" w:eastAsiaTheme="minorEastAsia" w:hAnsiTheme="minorHAnsi" w:cstheme="minorBidi"/>
                <w:noProof/>
                <w:color w:val="auto"/>
                <w:sz w:val="22"/>
                <w:szCs w:val="22"/>
                <w:lang w:eastAsia="en-GB"/>
              </w:rPr>
              <w:tab/>
            </w:r>
            <w:r w:rsidRPr="00E436EC">
              <w:rPr>
                <w:rStyle w:val="Hyperlink"/>
                <w:noProof/>
                <w:lang w:val="en-US"/>
              </w:rPr>
              <w:t>Specification / Requirements</w:t>
            </w:r>
            <w:r>
              <w:rPr>
                <w:noProof/>
                <w:webHidden/>
              </w:rPr>
              <w:tab/>
            </w:r>
            <w:r>
              <w:rPr>
                <w:noProof/>
                <w:webHidden/>
              </w:rPr>
              <w:fldChar w:fldCharType="begin"/>
            </w:r>
            <w:r>
              <w:rPr>
                <w:noProof/>
                <w:webHidden/>
              </w:rPr>
              <w:instrText xml:space="preserve"> PAGEREF _Toc160714156 \h </w:instrText>
            </w:r>
            <w:r>
              <w:rPr>
                <w:noProof/>
                <w:webHidden/>
              </w:rPr>
            </w:r>
            <w:r>
              <w:rPr>
                <w:noProof/>
                <w:webHidden/>
              </w:rPr>
              <w:fldChar w:fldCharType="separate"/>
            </w:r>
            <w:r>
              <w:rPr>
                <w:noProof/>
                <w:webHidden/>
              </w:rPr>
              <w:t>3</w:t>
            </w:r>
            <w:r>
              <w:rPr>
                <w:noProof/>
                <w:webHidden/>
              </w:rPr>
              <w:fldChar w:fldCharType="end"/>
            </w:r>
          </w:hyperlink>
        </w:p>
        <w:p w14:paraId="4215F92C" w14:textId="13C1C075"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57" w:history="1">
            <w:r w:rsidRPr="00E436EC">
              <w:rPr>
                <w:rStyle w:val="Hyperlink"/>
                <w:noProof/>
                <w:lang w:val="en-US"/>
              </w:rPr>
              <w:t>3.</w:t>
            </w:r>
            <w:r>
              <w:rPr>
                <w:rFonts w:asciiTheme="minorHAnsi" w:eastAsiaTheme="minorEastAsia" w:hAnsiTheme="minorHAnsi" w:cstheme="minorBidi"/>
                <w:noProof/>
                <w:color w:val="auto"/>
                <w:sz w:val="22"/>
                <w:szCs w:val="22"/>
                <w:lang w:eastAsia="en-GB"/>
              </w:rPr>
              <w:tab/>
            </w:r>
            <w:r w:rsidRPr="00E436EC">
              <w:rPr>
                <w:rStyle w:val="Hyperlink"/>
                <w:noProof/>
                <w:lang w:val="en-US"/>
              </w:rPr>
              <w:t>Insurance</w:t>
            </w:r>
            <w:r>
              <w:rPr>
                <w:noProof/>
                <w:webHidden/>
              </w:rPr>
              <w:tab/>
            </w:r>
            <w:r>
              <w:rPr>
                <w:noProof/>
                <w:webHidden/>
              </w:rPr>
              <w:fldChar w:fldCharType="begin"/>
            </w:r>
            <w:r>
              <w:rPr>
                <w:noProof/>
                <w:webHidden/>
              </w:rPr>
              <w:instrText xml:space="preserve"> PAGEREF _Toc160714157 \h </w:instrText>
            </w:r>
            <w:r>
              <w:rPr>
                <w:noProof/>
                <w:webHidden/>
              </w:rPr>
            </w:r>
            <w:r>
              <w:rPr>
                <w:noProof/>
                <w:webHidden/>
              </w:rPr>
              <w:fldChar w:fldCharType="separate"/>
            </w:r>
            <w:r>
              <w:rPr>
                <w:noProof/>
                <w:webHidden/>
              </w:rPr>
              <w:t>5</w:t>
            </w:r>
            <w:r>
              <w:rPr>
                <w:noProof/>
                <w:webHidden/>
              </w:rPr>
              <w:fldChar w:fldCharType="end"/>
            </w:r>
          </w:hyperlink>
        </w:p>
        <w:p w14:paraId="6004DC68" w14:textId="7FC32C3E"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58" w:history="1">
            <w:r w:rsidRPr="00E436EC">
              <w:rPr>
                <w:rStyle w:val="Hyperlink"/>
                <w:noProof/>
                <w:lang w:val="en-US"/>
              </w:rPr>
              <w:t>4.</w:t>
            </w:r>
            <w:r>
              <w:rPr>
                <w:rFonts w:asciiTheme="minorHAnsi" w:eastAsiaTheme="minorEastAsia" w:hAnsiTheme="minorHAnsi" w:cstheme="minorBidi"/>
                <w:noProof/>
                <w:color w:val="auto"/>
                <w:sz w:val="22"/>
                <w:szCs w:val="22"/>
                <w:lang w:eastAsia="en-GB"/>
              </w:rPr>
              <w:tab/>
            </w:r>
            <w:r w:rsidRPr="00E436EC">
              <w:rPr>
                <w:rStyle w:val="Hyperlink"/>
                <w:noProof/>
                <w:lang w:val="en-US"/>
              </w:rPr>
              <w:t>Procurement Timetable</w:t>
            </w:r>
            <w:r>
              <w:rPr>
                <w:noProof/>
                <w:webHidden/>
              </w:rPr>
              <w:tab/>
            </w:r>
            <w:r>
              <w:rPr>
                <w:noProof/>
                <w:webHidden/>
              </w:rPr>
              <w:fldChar w:fldCharType="begin"/>
            </w:r>
            <w:r>
              <w:rPr>
                <w:noProof/>
                <w:webHidden/>
              </w:rPr>
              <w:instrText xml:space="preserve"> PAGEREF _Toc160714158 \h </w:instrText>
            </w:r>
            <w:r>
              <w:rPr>
                <w:noProof/>
                <w:webHidden/>
              </w:rPr>
            </w:r>
            <w:r>
              <w:rPr>
                <w:noProof/>
                <w:webHidden/>
              </w:rPr>
              <w:fldChar w:fldCharType="separate"/>
            </w:r>
            <w:r>
              <w:rPr>
                <w:noProof/>
                <w:webHidden/>
              </w:rPr>
              <w:t>5</w:t>
            </w:r>
            <w:r>
              <w:rPr>
                <w:noProof/>
                <w:webHidden/>
              </w:rPr>
              <w:fldChar w:fldCharType="end"/>
            </w:r>
          </w:hyperlink>
        </w:p>
        <w:p w14:paraId="3588704D" w14:textId="23F933CD"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59" w:history="1">
            <w:r w:rsidRPr="00E436EC">
              <w:rPr>
                <w:rStyle w:val="Hyperlink"/>
                <w:noProof/>
                <w:lang w:val="en-US"/>
              </w:rPr>
              <w:t>5.</w:t>
            </w:r>
            <w:r>
              <w:rPr>
                <w:rFonts w:asciiTheme="minorHAnsi" w:eastAsiaTheme="minorEastAsia" w:hAnsiTheme="minorHAnsi" w:cstheme="minorBidi"/>
                <w:noProof/>
                <w:color w:val="auto"/>
                <w:sz w:val="22"/>
                <w:szCs w:val="22"/>
                <w:lang w:eastAsia="en-GB"/>
              </w:rPr>
              <w:tab/>
            </w:r>
            <w:r w:rsidRPr="00E436EC">
              <w:rPr>
                <w:rStyle w:val="Hyperlink"/>
                <w:noProof/>
                <w:lang w:val="en-US"/>
              </w:rPr>
              <w:t>Instructions on submitting a response</w:t>
            </w:r>
            <w:r>
              <w:rPr>
                <w:noProof/>
                <w:webHidden/>
              </w:rPr>
              <w:tab/>
            </w:r>
            <w:r>
              <w:rPr>
                <w:noProof/>
                <w:webHidden/>
              </w:rPr>
              <w:fldChar w:fldCharType="begin"/>
            </w:r>
            <w:r>
              <w:rPr>
                <w:noProof/>
                <w:webHidden/>
              </w:rPr>
              <w:instrText xml:space="preserve"> PAGEREF _Toc160714159 \h </w:instrText>
            </w:r>
            <w:r>
              <w:rPr>
                <w:noProof/>
                <w:webHidden/>
              </w:rPr>
            </w:r>
            <w:r>
              <w:rPr>
                <w:noProof/>
                <w:webHidden/>
              </w:rPr>
              <w:fldChar w:fldCharType="separate"/>
            </w:r>
            <w:r>
              <w:rPr>
                <w:noProof/>
                <w:webHidden/>
              </w:rPr>
              <w:t>5</w:t>
            </w:r>
            <w:r>
              <w:rPr>
                <w:noProof/>
                <w:webHidden/>
              </w:rPr>
              <w:fldChar w:fldCharType="end"/>
            </w:r>
          </w:hyperlink>
        </w:p>
        <w:p w14:paraId="4E4910BD" w14:textId="5BDBC610"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60" w:history="1">
            <w:r w:rsidRPr="00E436EC">
              <w:rPr>
                <w:rStyle w:val="Hyperlink"/>
                <w:noProof/>
                <w:lang w:val="en-US"/>
              </w:rPr>
              <w:t>6.</w:t>
            </w:r>
            <w:r>
              <w:rPr>
                <w:rFonts w:asciiTheme="minorHAnsi" w:eastAsiaTheme="minorEastAsia" w:hAnsiTheme="minorHAnsi" w:cstheme="minorBidi"/>
                <w:noProof/>
                <w:color w:val="auto"/>
                <w:sz w:val="22"/>
                <w:szCs w:val="22"/>
                <w:lang w:eastAsia="en-GB"/>
              </w:rPr>
              <w:tab/>
            </w:r>
            <w:r w:rsidRPr="00E436EC">
              <w:rPr>
                <w:rStyle w:val="Hyperlink"/>
                <w:noProof/>
                <w:lang w:val="en-US"/>
              </w:rPr>
              <w:t>Clarifications</w:t>
            </w:r>
            <w:r>
              <w:rPr>
                <w:noProof/>
                <w:webHidden/>
              </w:rPr>
              <w:tab/>
            </w:r>
            <w:r>
              <w:rPr>
                <w:noProof/>
                <w:webHidden/>
              </w:rPr>
              <w:fldChar w:fldCharType="begin"/>
            </w:r>
            <w:r>
              <w:rPr>
                <w:noProof/>
                <w:webHidden/>
              </w:rPr>
              <w:instrText xml:space="preserve"> PAGEREF _Toc160714160 \h </w:instrText>
            </w:r>
            <w:r>
              <w:rPr>
                <w:noProof/>
                <w:webHidden/>
              </w:rPr>
            </w:r>
            <w:r>
              <w:rPr>
                <w:noProof/>
                <w:webHidden/>
              </w:rPr>
              <w:fldChar w:fldCharType="separate"/>
            </w:r>
            <w:r>
              <w:rPr>
                <w:noProof/>
                <w:webHidden/>
              </w:rPr>
              <w:t>6</w:t>
            </w:r>
            <w:r>
              <w:rPr>
                <w:noProof/>
                <w:webHidden/>
              </w:rPr>
              <w:fldChar w:fldCharType="end"/>
            </w:r>
          </w:hyperlink>
        </w:p>
        <w:p w14:paraId="64140989" w14:textId="62A8402A"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61" w:history="1">
            <w:r w:rsidRPr="00E436EC">
              <w:rPr>
                <w:rStyle w:val="Hyperlink"/>
                <w:noProof/>
                <w:lang w:val="en-US"/>
              </w:rPr>
              <w:t>7.</w:t>
            </w:r>
            <w:r>
              <w:rPr>
                <w:rFonts w:asciiTheme="minorHAnsi" w:eastAsiaTheme="minorEastAsia" w:hAnsiTheme="minorHAnsi" w:cstheme="minorBidi"/>
                <w:noProof/>
                <w:color w:val="auto"/>
                <w:sz w:val="22"/>
                <w:szCs w:val="22"/>
                <w:lang w:eastAsia="en-GB"/>
              </w:rPr>
              <w:tab/>
            </w:r>
            <w:r w:rsidRPr="00E436EC">
              <w:rPr>
                <w:rStyle w:val="Hyperlink"/>
                <w:noProof/>
                <w:lang w:val="en-US"/>
              </w:rPr>
              <w:t>Evaluation</w:t>
            </w:r>
            <w:r>
              <w:rPr>
                <w:noProof/>
                <w:webHidden/>
              </w:rPr>
              <w:tab/>
            </w:r>
            <w:r>
              <w:rPr>
                <w:noProof/>
                <w:webHidden/>
              </w:rPr>
              <w:fldChar w:fldCharType="begin"/>
            </w:r>
            <w:r>
              <w:rPr>
                <w:noProof/>
                <w:webHidden/>
              </w:rPr>
              <w:instrText xml:space="preserve"> PAGEREF _Toc160714161 \h </w:instrText>
            </w:r>
            <w:r>
              <w:rPr>
                <w:noProof/>
                <w:webHidden/>
              </w:rPr>
            </w:r>
            <w:r>
              <w:rPr>
                <w:noProof/>
                <w:webHidden/>
              </w:rPr>
              <w:fldChar w:fldCharType="separate"/>
            </w:r>
            <w:r>
              <w:rPr>
                <w:noProof/>
                <w:webHidden/>
              </w:rPr>
              <w:t>6</w:t>
            </w:r>
            <w:r>
              <w:rPr>
                <w:noProof/>
                <w:webHidden/>
              </w:rPr>
              <w:fldChar w:fldCharType="end"/>
            </w:r>
          </w:hyperlink>
        </w:p>
        <w:p w14:paraId="6FBEB5AB" w14:textId="17066571"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62" w:history="1">
            <w:r w:rsidRPr="00E436EC">
              <w:rPr>
                <w:rStyle w:val="Hyperlink"/>
                <w:noProof/>
                <w:lang w:val="en-US"/>
              </w:rPr>
              <w:t>8.</w:t>
            </w:r>
            <w:r>
              <w:rPr>
                <w:rFonts w:asciiTheme="minorHAnsi" w:eastAsiaTheme="minorEastAsia" w:hAnsiTheme="minorHAnsi" w:cstheme="minorBidi"/>
                <w:noProof/>
                <w:color w:val="auto"/>
                <w:sz w:val="22"/>
                <w:szCs w:val="22"/>
                <w:lang w:eastAsia="en-GB"/>
              </w:rPr>
              <w:tab/>
            </w:r>
            <w:r w:rsidRPr="00E436EC">
              <w:rPr>
                <w:rStyle w:val="Hyperlink"/>
                <w:noProof/>
                <w:lang w:val="en-US"/>
              </w:rPr>
              <w:t>Award</w:t>
            </w:r>
            <w:r>
              <w:rPr>
                <w:noProof/>
                <w:webHidden/>
              </w:rPr>
              <w:tab/>
            </w:r>
            <w:r>
              <w:rPr>
                <w:noProof/>
                <w:webHidden/>
              </w:rPr>
              <w:fldChar w:fldCharType="begin"/>
            </w:r>
            <w:r>
              <w:rPr>
                <w:noProof/>
                <w:webHidden/>
              </w:rPr>
              <w:instrText xml:space="preserve"> PAGEREF _Toc160714162 \h </w:instrText>
            </w:r>
            <w:r>
              <w:rPr>
                <w:noProof/>
                <w:webHidden/>
              </w:rPr>
            </w:r>
            <w:r>
              <w:rPr>
                <w:noProof/>
                <w:webHidden/>
              </w:rPr>
              <w:fldChar w:fldCharType="separate"/>
            </w:r>
            <w:r>
              <w:rPr>
                <w:noProof/>
                <w:webHidden/>
              </w:rPr>
              <w:t>8</w:t>
            </w:r>
            <w:r>
              <w:rPr>
                <w:noProof/>
                <w:webHidden/>
              </w:rPr>
              <w:fldChar w:fldCharType="end"/>
            </w:r>
          </w:hyperlink>
        </w:p>
        <w:p w14:paraId="024C465A" w14:textId="7D077A6F" w:rsidR="00A554CC" w:rsidRDefault="00A554CC">
          <w:pPr>
            <w:pStyle w:val="TOC1"/>
            <w:tabs>
              <w:tab w:val="left" w:pos="480"/>
              <w:tab w:val="right" w:leader="dot" w:pos="9016"/>
            </w:tabs>
            <w:rPr>
              <w:rFonts w:asciiTheme="minorHAnsi" w:eastAsiaTheme="minorEastAsia" w:hAnsiTheme="minorHAnsi" w:cstheme="minorBidi"/>
              <w:noProof/>
              <w:color w:val="auto"/>
              <w:sz w:val="22"/>
              <w:szCs w:val="22"/>
              <w:lang w:eastAsia="en-GB"/>
            </w:rPr>
          </w:pPr>
          <w:hyperlink w:anchor="_Toc160714163" w:history="1">
            <w:r w:rsidRPr="00E436EC">
              <w:rPr>
                <w:rStyle w:val="Hyperlink"/>
                <w:noProof/>
                <w:lang w:val="en-US"/>
              </w:rPr>
              <w:t>9.</w:t>
            </w:r>
            <w:r>
              <w:rPr>
                <w:rFonts w:asciiTheme="minorHAnsi" w:eastAsiaTheme="minorEastAsia" w:hAnsiTheme="minorHAnsi" w:cstheme="minorBidi"/>
                <w:noProof/>
                <w:color w:val="auto"/>
                <w:sz w:val="22"/>
                <w:szCs w:val="22"/>
                <w:lang w:eastAsia="en-GB"/>
              </w:rPr>
              <w:tab/>
            </w:r>
            <w:r w:rsidRPr="00E436EC">
              <w:rPr>
                <w:rStyle w:val="Hyperlink"/>
                <w:noProof/>
                <w:lang w:val="en-US"/>
              </w:rPr>
              <w:t>Terms and Conditions</w:t>
            </w:r>
            <w:r>
              <w:rPr>
                <w:noProof/>
                <w:webHidden/>
              </w:rPr>
              <w:tab/>
            </w:r>
            <w:r>
              <w:rPr>
                <w:noProof/>
                <w:webHidden/>
              </w:rPr>
              <w:fldChar w:fldCharType="begin"/>
            </w:r>
            <w:r>
              <w:rPr>
                <w:noProof/>
                <w:webHidden/>
              </w:rPr>
              <w:instrText xml:space="preserve"> PAGEREF _Toc160714163 \h </w:instrText>
            </w:r>
            <w:r>
              <w:rPr>
                <w:noProof/>
                <w:webHidden/>
              </w:rPr>
            </w:r>
            <w:r>
              <w:rPr>
                <w:noProof/>
                <w:webHidden/>
              </w:rPr>
              <w:fldChar w:fldCharType="separate"/>
            </w:r>
            <w:r>
              <w:rPr>
                <w:noProof/>
                <w:webHidden/>
              </w:rPr>
              <w:t>9</w:t>
            </w:r>
            <w:r>
              <w:rPr>
                <w:noProof/>
                <w:webHidden/>
              </w:rPr>
              <w:fldChar w:fldCharType="end"/>
            </w:r>
          </w:hyperlink>
        </w:p>
        <w:p w14:paraId="4333AD75" w14:textId="6CC4B285" w:rsidR="00A554CC" w:rsidRDefault="00A554CC">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60714164" w:history="1">
            <w:r w:rsidRPr="00E436EC">
              <w:rPr>
                <w:rStyle w:val="Hyperlink"/>
                <w:noProof/>
                <w:lang w:val="en-US"/>
              </w:rPr>
              <w:t>10.</w:t>
            </w:r>
            <w:r>
              <w:rPr>
                <w:rFonts w:asciiTheme="minorHAnsi" w:eastAsiaTheme="minorEastAsia" w:hAnsiTheme="minorHAnsi" w:cstheme="minorBidi"/>
                <w:noProof/>
                <w:color w:val="auto"/>
                <w:sz w:val="22"/>
                <w:szCs w:val="22"/>
                <w:lang w:eastAsia="en-GB"/>
              </w:rPr>
              <w:tab/>
            </w:r>
            <w:r w:rsidRPr="00E436EC">
              <w:rPr>
                <w:rStyle w:val="Hyperlink"/>
                <w:noProof/>
                <w:lang w:val="en-US"/>
              </w:rPr>
              <w:t>Conduct and Conflicts of interest</w:t>
            </w:r>
            <w:r>
              <w:rPr>
                <w:noProof/>
                <w:webHidden/>
              </w:rPr>
              <w:tab/>
            </w:r>
            <w:r>
              <w:rPr>
                <w:noProof/>
                <w:webHidden/>
              </w:rPr>
              <w:fldChar w:fldCharType="begin"/>
            </w:r>
            <w:r>
              <w:rPr>
                <w:noProof/>
                <w:webHidden/>
              </w:rPr>
              <w:instrText xml:space="preserve"> PAGEREF _Toc160714164 \h </w:instrText>
            </w:r>
            <w:r>
              <w:rPr>
                <w:noProof/>
                <w:webHidden/>
              </w:rPr>
            </w:r>
            <w:r>
              <w:rPr>
                <w:noProof/>
                <w:webHidden/>
              </w:rPr>
              <w:fldChar w:fldCharType="separate"/>
            </w:r>
            <w:r>
              <w:rPr>
                <w:noProof/>
                <w:webHidden/>
              </w:rPr>
              <w:t>9</w:t>
            </w:r>
            <w:r>
              <w:rPr>
                <w:noProof/>
                <w:webHidden/>
              </w:rPr>
              <w:fldChar w:fldCharType="end"/>
            </w:r>
          </w:hyperlink>
        </w:p>
        <w:p w14:paraId="791C951D" w14:textId="36C653C9" w:rsidR="00C00D19" w:rsidRPr="00AB124C" w:rsidRDefault="00C00D19" w:rsidP="00AB124C">
          <w:pPr>
            <w:jc w:val="both"/>
          </w:pPr>
          <w:r w:rsidRPr="00AB124C">
            <w:rPr>
              <w:b/>
              <w:bCs/>
              <w:noProof/>
            </w:rPr>
            <w:fldChar w:fldCharType="end"/>
          </w:r>
        </w:p>
      </w:sdtContent>
    </w:sdt>
    <w:p w14:paraId="589182F4" w14:textId="5C21FCA3" w:rsidR="00C00D19" w:rsidRPr="00D41D8C" w:rsidRDefault="00D41D8C" w:rsidP="00AB124C">
      <w:pPr>
        <w:jc w:val="both"/>
        <w:rPr>
          <w:color w:val="auto"/>
          <w:lang w:val="en-US"/>
        </w:rPr>
      </w:pPr>
      <w:r w:rsidRPr="00D41D8C">
        <w:rPr>
          <w:color w:val="auto"/>
          <w:lang w:val="en-US"/>
        </w:rPr>
        <w:t>Documents supplied separately:</w:t>
      </w:r>
    </w:p>
    <w:p w14:paraId="6071BAA4" w14:textId="335D1B80" w:rsidR="00D41D8C" w:rsidRPr="00D41D8C" w:rsidRDefault="00163BDB" w:rsidP="00D41D8C">
      <w:pPr>
        <w:pStyle w:val="ListParagraph"/>
        <w:numPr>
          <w:ilvl w:val="0"/>
          <w:numId w:val="17"/>
        </w:numPr>
        <w:jc w:val="both"/>
        <w:rPr>
          <w:color w:val="auto"/>
          <w:lang w:val="en-US"/>
        </w:rPr>
      </w:pPr>
      <w:r>
        <w:rPr>
          <w:color w:val="auto"/>
          <w:lang w:val="en-US"/>
        </w:rPr>
        <w:t>Schedule 1</w:t>
      </w:r>
      <w:r w:rsidR="00D41D8C">
        <w:rPr>
          <w:color w:val="auto"/>
          <w:lang w:val="en-US"/>
        </w:rPr>
        <w:t xml:space="preserve"> – Quotation Response Document</w:t>
      </w:r>
    </w:p>
    <w:p w14:paraId="7BF295A4" w14:textId="0D6F0D2C" w:rsidR="00D41D8C" w:rsidRPr="00D41D8C" w:rsidRDefault="00D41D8C" w:rsidP="00D41D8C">
      <w:pPr>
        <w:pStyle w:val="ListParagraph"/>
        <w:numPr>
          <w:ilvl w:val="0"/>
          <w:numId w:val="17"/>
        </w:numPr>
        <w:jc w:val="both"/>
        <w:rPr>
          <w:color w:val="auto"/>
          <w:lang w:val="en-US"/>
        </w:rPr>
      </w:pPr>
      <w:r>
        <w:rPr>
          <w:color w:val="auto"/>
          <w:lang w:val="en-US"/>
        </w:rPr>
        <w:t>Appendix A</w:t>
      </w:r>
      <w:r w:rsidRPr="00D41D8C">
        <w:rPr>
          <w:color w:val="auto"/>
          <w:lang w:val="en-US"/>
        </w:rPr>
        <w:t xml:space="preserve"> – Contract Draft</w:t>
      </w:r>
    </w:p>
    <w:p w14:paraId="5D1EA103" w14:textId="21CAF8EA" w:rsidR="00D41D8C" w:rsidRDefault="00D41D8C">
      <w:pPr>
        <w:rPr>
          <w:b/>
          <w:color w:val="FF0000"/>
          <w:lang w:val="en-US"/>
        </w:rPr>
      </w:pPr>
      <w:r>
        <w:rPr>
          <w:b/>
          <w:color w:val="FF0000"/>
          <w:lang w:val="en-US"/>
        </w:rPr>
        <w:br w:type="page"/>
      </w:r>
    </w:p>
    <w:p w14:paraId="02BBE63A" w14:textId="77777777" w:rsidR="00415D04" w:rsidRPr="00AB124C" w:rsidRDefault="00415D04" w:rsidP="00AB124C">
      <w:pPr>
        <w:jc w:val="both"/>
        <w:rPr>
          <w:rFonts w:eastAsiaTheme="majorEastAsia"/>
          <w:b/>
          <w:color w:val="auto"/>
          <w:u w:val="single"/>
          <w:lang w:val="en-US"/>
        </w:rPr>
      </w:pPr>
    </w:p>
    <w:p w14:paraId="7B13D7CA" w14:textId="77777777" w:rsidR="00C00D19" w:rsidRPr="00AB124C" w:rsidRDefault="00C00D19" w:rsidP="00AB124C">
      <w:pPr>
        <w:pStyle w:val="Heading1"/>
        <w:numPr>
          <w:ilvl w:val="0"/>
          <w:numId w:val="1"/>
        </w:numPr>
        <w:ind w:left="426" w:hanging="426"/>
        <w:jc w:val="both"/>
        <w:rPr>
          <w:rFonts w:cs="Arial"/>
          <w:szCs w:val="24"/>
          <w:lang w:val="en-US"/>
        </w:rPr>
      </w:pPr>
      <w:bookmarkStart w:id="0" w:name="_Toc160714155"/>
      <w:r w:rsidRPr="00AB124C">
        <w:rPr>
          <w:rFonts w:cs="Arial"/>
          <w:szCs w:val="24"/>
          <w:lang w:val="en-US"/>
        </w:rPr>
        <w:t>Introduction</w:t>
      </w:r>
      <w:bookmarkEnd w:id="0"/>
    </w:p>
    <w:p w14:paraId="434A4935" w14:textId="77777777" w:rsidR="00D85C57" w:rsidRPr="00AB124C" w:rsidRDefault="00D85C57" w:rsidP="00AB124C">
      <w:pPr>
        <w:jc w:val="both"/>
        <w:rPr>
          <w:color w:val="4F81BD" w:themeColor="accent1"/>
          <w:lang w:val="en-US"/>
        </w:rPr>
      </w:pPr>
    </w:p>
    <w:p w14:paraId="13E75497" w14:textId="22A2504C" w:rsidR="00D85C57" w:rsidRPr="000D084B" w:rsidRDefault="00D85C57" w:rsidP="00AB124C">
      <w:pPr>
        <w:jc w:val="both"/>
        <w:rPr>
          <w:color w:val="auto"/>
          <w:lang w:val="en-US"/>
        </w:rPr>
      </w:pPr>
      <w:r w:rsidRPr="000D084B">
        <w:rPr>
          <w:color w:val="auto"/>
          <w:lang w:val="en-US"/>
        </w:rPr>
        <w:t>Gosport Borough Council (</w:t>
      </w:r>
      <w:r w:rsidR="000D084B" w:rsidRPr="000D084B">
        <w:rPr>
          <w:color w:val="auto"/>
          <w:lang w:val="en-US"/>
        </w:rPr>
        <w:t xml:space="preserve">GBC) </w:t>
      </w:r>
      <w:r w:rsidR="007E230D" w:rsidRPr="000D084B">
        <w:rPr>
          <w:rFonts w:eastAsia="Verdana"/>
          <w:color w:val="auto"/>
        </w:rPr>
        <w:t>is</w:t>
      </w:r>
      <w:r w:rsidR="007A0641">
        <w:rPr>
          <w:rFonts w:eastAsia="Verdana"/>
          <w:color w:val="auto"/>
        </w:rPr>
        <w:t xml:space="preserve"> conducting this ITQ to invite</w:t>
      </w:r>
      <w:r w:rsidR="007E230D" w:rsidRPr="000D084B">
        <w:rPr>
          <w:rFonts w:eastAsia="Verdana"/>
          <w:color w:val="auto"/>
        </w:rPr>
        <w:t xml:space="preserve"> quotations for </w:t>
      </w:r>
      <w:r w:rsidR="007A0641">
        <w:rPr>
          <w:rFonts w:eastAsia="Verdana"/>
          <w:color w:val="auto"/>
        </w:rPr>
        <w:t xml:space="preserve">the </w:t>
      </w:r>
      <w:r w:rsidR="007E230D" w:rsidRPr="000D084B">
        <w:rPr>
          <w:rFonts w:eastAsia="Verdana"/>
          <w:color w:val="auto"/>
        </w:rPr>
        <w:t>provision of lone working devices and associated monitoring, and is seeking responses in relation to the cost of service provision, technical capability, capacity and quality of product and service.</w:t>
      </w:r>
    </w:p>
    <w:p w14:paraId="2CA4F2A2" w14:textId="77777777" w:rsidR="000D084B" w:rsidRDefault="000D084B" w:rsidP="00AB124C">
      <w:pPr>
        <w:jc w:val="both"/>
        <w:rPr>
          <w:color w:val="auto"/>
          <w:lang w:val="en-US"/>
        </w:rPr>
      </w:pPr>
    </w:p>
    <w:p w14:paraId="4EFCF928" w14:textId="7B617451" w:rsidR="008320E9" w:rsidRDefault="00D85C57" w:rsidP="000D084B">
      <w:pPr>
        <w:jc w:val="both"/>
        <w:rPr>
          <w:color w:val="auto"/>
          <w:lang w:val="en-US"/>
        </w:rPr>
      </w:pPr>
      <w:r w:rsidRPr="000D084B">
        <w:rPr>
          <w:color w:val="auto"/>
          <w:lang w:val="en-US"/>
        </w:rPr>
        <w:t>GBC</w:t>
      </w:r>
      <w:r w:rsidR="008320E9" w:rsidRPr="000D084B">
        <w:rPr>
          <w:color w:val="auto"/>
          <w:lang w:val="en-US"/>
        </w:rPr>
        <w:t xml:space="preserve"> is a small loca</w:t>
      </w:r>
      <w:r w:rsidR="000D084B" w:rsidRPr="000D084B">
        <w:rPr>
          <w:color w:val="auto"/>
          <w:lang w:val="en-US"/>
        </w:rPr>
        <w:t xml:space="preserve">l government authority located on the South Coast </w:t>
      </w:r>
      <w:r w:rsidR="00216C1E" w:rsidRPr="000D084B">
        <w:rPr>
          <w:color w:val="auto"/>
          <w:lang w:val="en-US"/>
        </w:rPr>
        <w:t>and is conducting</w:t>
      </w:r>
      <w:r w:rsidR="000D084B" w:rsidRPr="000D084B">
        <w:rPr>
          <w:color w:val="auto"/>
          <w:lang w:val="en-US"/>
        </w:rPr>
        <w:t xml:space="preserve"> this pro</w:t>
      </w:r>
      <w:r w:rsidR="007E230D">
        <w:rPr>
          <w:color w:val="auto"/>
          <w:lang w:val="en-US"/>
        </w:rPr>
        <w:t xml:space="preserve">curement to </w:t>
      </w:r>
      <w:r w:rsidR="00134033">
        <w:rPr>
          <w:color w:val="auto"/>
          <w:lang w:val="en-US"/>
        </w:rPr>
        <w:t>fulfil the requirement of lone worker safety devices for staff.</w:t>
      </w:r>
    </w:p>
    <w:p w14:paraId="4C987CC2" w14:textId="77777777" w:rsidR="00D41D8C" w:rsidRPr="000D084B" w:rsidRDefault="00D41D8C" w:rsidP="000D084B">
      <w:pPr>
        <w:jc w:val="both"/>
        <w:rPr>
          <w:color w:val="auto"/>
          <w:lang w:val="en-US"/>
        </w:rPr>
      </w:pPr>
    </w:p>
    <w:p w14:paraId="4271D0A5" w14:textId="7DE1CB55" w:rsidR="007E230D" w:rsidRDefault="000D084B" w:rsidP="005432E8">
      <w:pPr>
        <w:ind w:left="-5" w:right="186" w:hanging="10"/>
        <w:jc w:val="both"/>
        <w:rPr>
          <w:rFonts w:eastAsia="Verdana"/>
          <w:color w:val="auto"/>
        </w:rPr>
      </w:pPr>
      <w:r w:rsidRPr="000D084B">
        <w:rPr>
          <w:rFonts w:eastAsia="Verdana"/>
          <w:color w:val="auto"/>
        </w:rPr>
        <w:t xml:space="preserve">Gosport Borough Council (GBC) </w:t>
      </w:r>
      <w:r w:rsidR="007E230D">
        <w:rPr>
          <w:rFonts w:eastAsia="Verdana"/>
          <w:color w:val="auto"/>
        </w:rPr>
        <w:t>recog</w:t>
      </w:r>
      <w:bookmarkStart w:id="1" w:name="_GoBack"/>
      <w:bookmarkEnd w:id="1"/>
      <w:r w:rsidR="007E230D">
        <w:rPr>
          <w:rFonts w:eastAsia="Verdana"/>
          <w:color w:val="auto"/>
        </w:rPr>
        <w:t>nises</w:t>
      </w:r>
      <w:r w:rsidRPr="000D084B">
        <w:rPr>
          <w:rFonts w:eastAsia="Verdana"/>
          <w:color w:val="auto"/>
        </w:rPr>
        <w:t xml:space="preserve"> ri</w:t>
      </w:r>
      <w:r w:rsidR="007E230D">
        <w:rPr>
          <w:rFonts w:eastAsia="Verdana"/>
          <w:color w:val="auto"/>
        </w:rPr>
        <w:t>sks posed to lone working staff, and therefore require</w:t>
      </w:r>
      <w:r w:rsidR="007A0641">
        <w:rPr>
          <w:rFonts w:eastAsia="Verdana"/>
          <w:color w:val="auto"/>
        </w:rPr>
        <w:t>s</w:t>
      </w:r>
      <w:r w:rsidR="007E230D">
        <w:rPr>
          <w:rFonts w:eastAsia="Verdana"/>
          <w:color w:val="auto"/>
        </w:rPr>
        <w:t xml:space="preserve"> </w:t>
      </w:r>
      <w:r w:rsidRPr="000D084B">
        <w:rPr>
          <w:rFonts w:eastAsia="Verdana"/>
          <w:color w:val="auto"/>
        </w:rPr>
        <w:t>l</w:t>
      </w:r>
      <w:r w:rsidR="007E230D">
        <w:rPr>
          <w:rFonts w:eastAsia="Verdana"/>
          <w:color w:val="auto"/>
        </w:rPr>
        <w:t xml:space="preserve">one worker devices </w:t>
      </w:r>
      <w:r w:rsidRPr="000D084B">
        <w:rPr>
          <w:rFonts w:eastAsia="Verdana"/>
          <w:color w:val="auto"/>
        </w:rPr>
        <w:t xml:space="preserve">to mitigate these risks.  </w:t>
      </w:r>
    </w:p>
    <w:p w14:paraId="51D5AC70" w14:textId="77777777" w:rsidR="005432E8" w:rsidRDefault="005432E8" w:rsidP="005432E8">
      <w:pPr>
        <w:ind w:left="-5" w:right="186" w:hanging="10"/>
        <w:jc w:val="both"/>
        <w:rPr>
          <w:rFonts w:eastAsia="Verdana"/>
          <w:color w:val="auto"/>
        </w:rPr>
      </w:pPr>
    </w:p>
    <w:p w14:paraId="59EF583C" w14:textId="399C20BD" w:rsidR="000D084B" w:rsidRDefault="000D084B" w:rsidP="000D084B">
      <w:pPr>
        <w:ind w:left="-5" w:right="186" w:hanging="10"/>
        <w:jc w:val="both"/>
        <w:rPr>
          <w:rFonts w:eastAsia="Verdana"/>
          <w:color w:val="auto"/>
        </w:rPr>
      </w:pPr>
      <w:r w:rsidRPr="000D084B">
        <w:rPr>
          <w:rFonts w:eastAsia="Verdana"/>
          <w:color w:val="auto"/>
        </w:rPr>
        <w:t xml:space="preserve">Current </w:t>
      </w:r>
      <w:r>
        <w:rPr>
          <w:rFonts w:eastAsia="Verdana"/>
          <w:color w:val="auto"/>
        </w:rPr>
        <w:t>staffing levels mean that</w:t>
      </w:r>
      <w:r w:rsidR="00F21555">
        <w:rPr>
          <w:rFonts w:eastAsia="Verdana"/>
          <w:color w:val="auto"/>
        </w:rPr>
        <w:t xml:space="preserve"> the Council </w:t>
      </w:r>
      <w:r w:rsidR="007A0641">
        <w:rPr>
          <w:rFonts w:eastAsia="Verdana"/>
          <w:color w:val="auto"/>
        </w:rPr>
        <w:t>require</w:t>
      </w:r>
      <w:r w:rsidR="00F21555" w:rsidRPr="005432E8">
        <w:rPr>
          <w:rFonts w:eastAsia="Verdana"/>
          <w:color w:val="auto"/>
        </w:rPr>
        <w:t xml:space="preserve"> </w:t>
      </w:r>
      <w:r w:rsidR="003F10C0" w:rsidRPr="005432E8">
        <w:rPr>
          <w:rFonts w:eastAsia="Verdana"/>
          <w:color w:val="auto"/>
        </w:rPr>
        <w:t>5</w:t>
      </w:r>
      <w:r w:rsidR="005432E8" w:rsidRPr="005432E8">
        <w:rPr>
          <w:rFonts w:eastAsia="Verdana"/>
          <w:color w:val="auto"/>
        </w:rPr>
        <w:t xml:space="preserve">5 </w:t>
      </w:r>
      <w:r>
        <w:rPr>
          <w:rFonts w:eastAsia="Verdana"/>
          <w:color w:val="auto"/>
        </w:rPr>
        <w:t xml:space="preserve">lone working devices </w:t>
      </w:r>
      <w:r w:rsidR="007A0641">
        <w:rPr>
          <w:rFonts w:eastAsia="Verdana"/>
          <w:color w:val="auto"/>
        </w:rPr>
        <w:t xml:space="preserve">in </w:t>
      </w:r>
      <w:r w:rsidR="00DF11B1">
        <w:rPr>
          <w:rFonts w:eastAsia="Verdana"/>
          <w:color w:val="auto"/>
        </w:rPr>
        <w:t>a variety of settings fo</w:t>
      </w:r>
      <w:r w:rsidR="007A0641">
        <w:rPr>
          <w:rFonts w:eastAsia="Verdana"/>
          <w:color w:val="auto"/>
        </w:rPr>
        <w:t>r the duration of the contract.   H</w:t>
      </w:r>
      <w:r w:rsidR="00F21555">
        <w:rPr>
          <w:rFonts w:eastAsia="Verdana"/>
          <w:color w:val="auto"/>
        </w:rPr>
        <w:t>owever</w:t>
      </w:r>
      <w:r w:rsidR="007A0641">
        <w:rPr>
          <w:rFonts w:eastAsia="Verdana"/>
          <w:color w:val="auto"/>
        </w:rPr>
        <w:t>,</w:t>
      </w:r>
      <w:r w:rsidR="00F21555">
        <w:rPr>
          <w:rFonts w:eastAsia="Verdana"/>
          <w:color w:val="auto"/>
        </w:rPr>
        <w:t xml:space="preserve"> this number may change with staffing levels</w:t>
      </w:r>
      <w:r w:rsidR="007A0641">
        <w:rPr>
          <w:rFonts w:eastAsia="Verdana"/>
          <w:color w:val="auto"/>
        </w:rPr>
        <w:t xml:space="preserve"> and</w:t>
      </w:r>
      <w:r w:rsidR="00F21555">
        <w:rPr>
          <w:rFonts w:eastAsia="Verdana"/>
          <w:color w:val="auto"/>
        </w:rPr>
        <w:t xml:space="preserve"> the Council may need to increase the number of devices during the contract term.</w:t>
      </w:r>
      <w:r w:rsidR="00DF11B1">
        <w:rPr>
          <w:rFonts w:eastAsia="Verdana"/>
          <w:color w:val="auto"/>
        </w:rPr>
        <w:t xml:space="preserve"> </w:t>
      </w:r>
    </w:p>
    <w:p w14:paraId="4E18D46E" w14:textId="19F82E6C" w:rsidR="002378EA" w:rsidRDefault="002378EA">
      <w:pPr>
        <w:rPr>
          <w:rFonts w:eastAsia="Verdana"/>
          <w:color w:val="auto"/>
        </w:rPr>
      </w:pPr>
      <w:r>
        <w:rPr>
          <w:rFonts w:eastAsia="Verdana"/>
          <w:color w:val="auto"/>
        </w:rPr>
        <w:br w:type="page"/>
      </w:r>
    </w:p>
    <w:p w14:paraId="594DAEC2" w14:textId="77777777" w:rsidR="00C00D19" w:rsidRPr="00AB124C" w:rsidRDefault="00C00D19" w:rsidP="00AB124C">
      <w:pPr>
        <w:pStyle w:val="Heading1"/>
        <w:numPr>
          <w:ilvl w:val="0"/>
          <w:numId w:val="1"/>
        </w:numPr>
        <w:ind w:left="426" w:hanging="426"/>
        <w:jc w:val="both"/>
        <w:rPr>
          <w:rFonts w:cs="Arial"/>
          <w:szCs w:val="24"/>
          <w:lang w:val="en-US"/>
        </w:rPr>
      </w:pPr>
      <w:bookmarkStart w:id="2" w:name="_Toc160714156"/>
      <w:r w:rsidRPr="00AB124C">
        <w:rPr>
          <w:rFonts w:cs="Arial"/>
          <w:szCs w:val="24"/>
          <w:lang w:val="en-US"/>
        </w:rPr>
        <w:lastRenderedPageBreak/>
        <w:t>Specification / Requirements</w:t>
      </w:r>
      <w:bookmarkEnd w:id="2"/>
    </w:p>
    <w:p w14:paraId="14363F64" w14:textId="77777777" w:rsidR="00C00D19" w:rsidRPr="00AB124C" w:rsidRDefault="00C00D19" w:rsidP="00AB124C">
      <w:pPr>
        <w:jc w:val="both"/>
        <w:rPr>
          <w:lang w:val="en-US"/>
        </w:rPr>
      </w:pPr>
    </w:p>
    <w:p w14:paraId="002A9CEC" w14:textId="398A0EF7" w:rsidR="000D084B" w:rsidRDefault="007E230D" w:rsidP="00D41D8C">
      <w:pPr>
        <w:pStyle w:val="NoSpacing"/>
      </w:pPr>
      <w:r>
        <w:t>GBC</w:t>
      </w:r>
      <w:r w:rsidR="00E967DB">
        <w:t xml:space="preserve"> seeks bids from S</w:t>
      </w:r>
      <w:r w:rsidR="000D084B" w:rsidRPr="000D084B">
        <w:t xml:space="preserve">uppliers able to provide lone worker safety device solutions.  </w:t>
      </w:r>
    </w:p>
    <w:p w14:paraId="6CD4FB5A" w14:textId="77777777" w:rsidR="00D41D8C" w:rsidRPr="000D084B" w:rsidRDefault="00D41D8C" w:rsidP="00D41D8C">
      <w:pPr>
        <w:pStyle w:val="NoSpacing"/>
        <w:rPr>
          <w:b/>
        </w:rPr>
      </w:pPr>
    </w:p>
    <w:p w14:paraId="7DD2C90C" w14:textId="6CA90F32" w:rsidR="000D084B" w:rsidRPr="000D084B" w:rsidRDefault="000D084B" w:rsidP="000D084B">
      <w:r w:rsidRPr="000D084B">
        <w:t>Lone workers at Gosport Borough Council are subject to risks</w:t>
      </w:r>
      <w:r w:rsidR="007E230D">
        <w:t>, such as</w:t>
      </w:r>
      <w:r w:rsidRPr="000D084B">
        <w:t>:</w:t>
      </w:r>
    </w:p>
    <w:p w14:paraId="1A77BDDC" w14:textId="77777777" w:rsidR="000D084B" w:rsidRPr="000D084B" w:rsidRDefault="000D084B" w:rsidP="00951D30">
      <w:pPr>
        <w:pStyle w:val="ListParagraph"/>
        <w:numPr>
          <w:ilvl w:val="0"/>
          <w:numId w:val="15"/>
        </w:numPr>
      </w:pPr>
      <w:r w:rsidRPr="000D084B">
        <w:t>Slips, trips or falls leading to injury or incapacitation</w:t>
      </w:r>
    </w:p>
    <w:p w14:paraId="7EBB6361" w14:textId="77777777" w:rsidR="000D084B" w:rsidRDefault="000D084B" w:rsidP="00951D30">
      <w:pPr>
        <w:pStyle w:val="ListParagraph"/>
        <w:numPr>
          <w:ilvl w:val="0"/>
          <w:numId w:val="15"/>
        </w:numPr>
      </w:pPr>
      <w:r w:rsidRPr="000D084B">
        <w:t>Violent behaviour and / or aggression</w:t>
      </w:r>
    </w:p>
    <w:p w14:paraId="75E084DC" w14:textId="77777777" w:rsidR="00951D30" w:rsidRPr="000D084B" w:rsidRDefault="00951D30" w:rsidP="000D084B"/>
    <w:p w14:paraId="4155D93E" w14:textId="1F83E98D" w:rsidR="000D084B" w:rsidRPr="000D084B" w:rsidRDefault="00E967DB" w:rsidP="000D084B">
      <w:r>
        <w:t>GBC staff</w:t>
      </w:r>
      <w:r w:rsidR="000D084B" w:rsidRPr="000D084B">
        <w:t xml:space="preserve"> work </w:t>
      </w:r>
      <w:r w:rsidR="005432E8">
        <w:t>alone</w:t>
      </w:r>
      <w:r w:rsidR="007E230D">
        <w:t xml:space="preserve"> </w:t>
      </w:r>
      <w:r w:rsidR="000D084B" w:rsidRPr="000D084B">
        <w:t>in a variety of se</w:t>
      </w:r>
      <w:r w:rsidR="007E230D">
        <w:t>ttings such as communal areas in</w:t>
      </w:r>
      <w:r w:rsidR="000D084B" w:rsidRPr="000D084B">
        <w:t xml:space="preserve"> blocks of flats, visiting tenants in their homes, responding to emergency calls throughout the night and performing various duties around the Borough.  The lone worker staff contingent includes Housing Officers, </w:t>
      </w:r>
      <w:r w:rsidR="005432E8">
        <w:t xml:space="preserve">Emergency Officers, </w:t>
      </w:r>
      <w:r w:rsidR="000D084B" w:rsidRPr="000D084B">
        <w:t>Cleaners and Surveyors.</w:t>
      </w:r>
    </w:p>
    <w:p w14:paraId="157BF9F7" w14:textId="77777777" w:rsidR="008320E9" w:rsidRPr="00AB124C" w:rsidRDefault="008320E9" w:rsidP="00AB124C">
      <w:pPr>
        <w:jc w:val="both"/>
        <w:rPr>
          <w:color w:val="FF0000"/>
          <w:lang w:val="en-US"/>
        </w:rPr>
      </w:pPr>
    </w:p>
    <w:p w14:paraId="5031356C" w14:textId="5D0A875B" w:rsidR="000D084B" w:rsidRPr="000D084B" w:rsidRDefault="00CF6C99" w:rsidP="000D084B">
      <w:pPr>
        <w:pStyle w:val="BodyText"/>
        <w:spacing w:line="360" w:lineRule="auto"/>
        <w:ind w:right="-198"/>
        <w:jc w:val="both"/>
        <w:rPr>
          <w:rFonts w:ascii="Arial" w:eastAsia="Verdana" w:hAnsi="Arial" w:cs="Arial"/>
          <w:lang w:eastAsia="en-GB"/>
        </w:rPr>
      </w:pPr>
      <w:r>
        <w:rPr>
          <w:rFonts w:ascii="Arial" w:eastAsia="Verdana" w:hAnsi="Arial" w:cs="Arial"/>
          <w:lang w:eastAsia="en-GB"/>
        </w:rPr>
        <w:t>The S</w:t>
      </w:r>
      <w:r w:rsidR="000D084B" w:rsidRPr="000D084B">
        <w:rPr>
          <w:rFonts w:ascii="Arial" w:eastAsia="Verdana" w:hAnsi="Arial" w:cs="Arial"/>
          <w:lang w:eastAsia="en-GB"/>
        </w:rPr>
        <w:t xml:space="preserve">upplier must be able to provide devices and call centre back up of a high standard.  The devices must be pocket sized, waterproof, dustproof and easy to use and wear.  </w:t>
      </w:r>
      <w:r w:rsidR="00574CFF">
        <w:rPr>
          <w:rFonts w:ascii="Arial" w:eastAsia="Verdana" w:hAnsi="Arial" w:cs="Arial"/>
          <w:lang w:eastAsia="en-GB"/>
        </w:rPr>
        <w:t xml:space="preserve">The device must be easily interchangeable between different users.  </w:t>
      </w:r>
      <w:r w:rsidR="000D084B" w:rsidRPr="000D084B">
        <w:rPr>
          <w:rFonts w:ascii="Arial" w:eastAsia="Verdana" w:hAnsi="Arial" w:cs="Arial"/>
          <w:lang w:eastAsia="en-GB"/>
        </w:rPr>
        <w:t>The following criteria must also be met:</w:t>
      </w:r>
    </w:p>
    <w:p w14:paraId="0ADB4F06" w14:textId="77777777" w:rsidR="000D084B" w:rsidRPr="000D084B" w:rsidRDefault="000D084B" w:rsidP="00366F7F">
      <w:pPr>
        <w:pStyle w:val="BodyText"/>
        <w:spacing w:line="360" w:lineRule="auto"/>
        <w:ind w:right="-198"/>
        <w:jc w:val="both"/>
        <w:rPr>
          <w:rFonts w:ascii="Arial" w:eastAsia="Verdana" w:hAnsi="Arial" w:cs="Arial"/>
          <w:lang w:eastAsia="en-GB"/>
        </w:rPr>
      </w:pPr>
      <w:r w:rsidRPr="000D084B">
        <w:rPr>
          <w:rFonts w:ascii="Arial" w:eastAsia="Verdana" w:hAnsi="Arial" w:cs="Arial"/>
          <w:lang w:eastAsia="en-GB"/>
        </w:rPr>
        <w:t>Features:</w:t>
      </w:r>
    </w:p>
    <w:p w14:paraId="1A73440B" w14:textId="6CAC1AAB"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24</w:t>
      </w:r>
      <w:r w:rsidR="009139AB">
        <w:rPr>
          <w:rFonts w:ascii="Arial" w:hAnsi="Arial" w:cs="Arial"/>
        </w:rPr>
        <w:t xml:space="preserve"> hours a day, </w:t>
      </w:r>
      <w:r w:rsidRPr="000D084B">
        <w:rPr>
          <w:rFonts w:ascii="Arial" w:hAnsi="Arial" w:cs="Arial"/>
        </w:rPr>
        <w:t>7</w:t>
      </w:r>
      <w:r w:rsidR="009139AB">
        <w:rPr>
          <w:rFonts w:ascii="Arial" w:hAnsi="Arial" w:cs="Arial"/>
        </w:rPr>
        <w:t xml:space="preserve"> days a week (24/7)</w:t>
      </w:r>
      <w:r w:rsidRPr="000D084B">
        <w:rPr>
          <w:rFonts w:ascii="Arial" w:hAnsi="Arial" w:cs="Arial"/>
        </w:rPr>
        <w:t xml:space="preserve"> emergency alarm</w:t>
      </w:r>
    </w:p>
    <w:p w14:paraId="53060993" w14:textId="77777777"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24/7 monitoring call centre</w:t>
      </w:r>
    </w:p>
    <w:p w14:paraId="29AA335B" w14:textId="77777777"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Voice message capability for check in and out</w:t>
      </w:r>
    </w:p>
    <w:p w14:paraId="0180F391" w14:textId="77777777"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Incapacitation alert</w:t>
      </w:r>
    </w:p>
    <w:p w14:paraId="4B0CBC6B" w14:textId="48183171" w:rsidR="000D084B" w:rsidRDefault="00E967DB" w:rsidP="00951D30">
      <w:pPr>
        <w:pStyle w:val="BodyText"/>
        <w:numPr>
          <w:ilvl w:val="0"/>
          <w:numId w:val="14"/>
        </w:numPr>
        <w:tabs>
          <w:tab w:val="left" w:pos="567"/>
        </w:tabs>
        <w:spacing w:line="360" w:lineRule="auto"/>
        <w:ind w:right="-7"/>
        <w:jc w:val="both"/>
        <w:rPr>
          <w:rFonts w:ascii="Arial" w:hAnsi="Arial" w:cs="Arial"/>
        </w:rPr>
      </w:pPr>
      <w:r>
        <w:rPr>
          <w:rFonts w:ascii="Arial" w:hAnsi="Arial" w:cs="Arial"/>
        </w:rPr>
        <w:t>Reliable battery life up to 50</w:t>
      </w:r>
      <w:r w:rsidR="000D084B" w:rsidRPr="000D084B">
        <w:rPr>
          <w:rFonts w:ascii="Arial" w:hAnsi="Arial" w:cs="Arial"/>
        </w:rPr>
        <w:t xml:space="preserve"> hours</w:t>
      </w:r>
    </w:p>
    <w:p w14:paraId="104C52D6" w14:textId="71387DA7" w:rsidR="009139AB" w:rsidRDefault="009139AB" w:rsidP="00951D30">
      <w:pPr>
        <w:pStyle w:val="BodyText"/>
        <w:numPr>
          <w:ilvl w:val="0"/>
          <w:numId w:val="14"/>
        </w:numPr>
        <w:tabs>
          <w:tab w:val="left" w:pos="567"/>
        </w:tabs>
        <w:spacing w:line="360" w:lineRule="auto"/>
        <w:ind w:right="-7"/>
        <w:jc w:val="both"/>
        <w:rPr>
          <w:rFonts w:ascii="Arial" w:hAnsi="Arial" w:cs="Arial"/>
        </w:rPr>
      </w:pPr>
      <w:r>
        <w:rPr>
          <w:rFonts w:ascii="Arial" w:hAnsi="Arial" w:cs="Arial"/>
        </w:rPr>
        <w:t>rechargeable battery</w:t>
      </w:r>
    </w:p>
    <w:p w14:paraId="1F3958DF" w14:textId="58DA687B" w:rsidR="00574CFF" w:rsidRPr="000D084B" w:rsidRDefault="00574CFF" w:rsidP="00951D30">
      <w:pPr>
        <w:pStyle w:val="BodyText"/>
        <w:numPr>
          <w:ilvl w:val="0"/>
          <w:numId w:val="14"/>
        </w:numPr>
        <w:tabs>
          <w:tab w:val="left" w:pos="567"/>
        </w:tabs>
        <w:spacing w:line="360" w:lineRule="auto"/>
        <w:ind w:right="-7"/>
        <w:jc w:val="both"/>
        <w:rPr>
          <w:rFonts w:ascii="Arial" w:hAnsi="Arial" w:cs="Arial"/>
        </w:rPr>
      </w:pPr>
      <w:r>
        <w:rPr>
          <w:rFonts w:ascii="Arial" w:hAnsi="Arial" w:cs="Arial"/>
        </w:rPr>
        <w:t>Interchangeable between 5 or more users</w:t>
      </w:r>
    </w:p>
    <w:p w14:paraId="42A53E4C" w14:textId="77777777"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4G cellular connectivity and Wi Fi calling with roaming SIM</w:t>
      </w:r>
    </w:p>
    <w:p w14:paraId="5853BE5A" w14:textId="03A196D5"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Geo</w:t>
      </w:r>
      <w:r w:rsidR="009139AB">
        <w:rPr>
          <w:rFonts w:ascii="Arial" w:hAnsi="Arial" w:cs="Arial"/>
        </w:rPr>
        <w:t>graphical</w:t>
      </w:r>
      <w:r w:rsidRPr="000D084B">
        <w:rPr>
          <w:rFonts w:ascii="Arial" w:hAnsi="Arial" w:cs="Arial"/>
        </w:rPr>
        <w:t xml:space="preserve"> location technology</w:t>
      </w:r>
    </w:p>
    <w:p w14:paraId="1FBA6D3F" w14:textId="77777777"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Worker location monitoring</w:t>
      </w:r>
    </w:p>
    <w:p w14:paraId="2823F313" w14:textId="07A6132D" w:rsidR="00CF6C99" w:rsidRPr="00CF6C99" w:rsidRDefault="000D084B" w:rsidP="00CF6C99">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Provision for monitoring in low signal areas</w:t>
      </w:r>
    </w:p>
    <w:p w14:paraId="1C059710" w14:textId="2B026664"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lastRenderedPageBreak/>
        <w:t>Provision for worker to speak to call centre</w:t>
      </w:r>
      <w:r w:rsidR="009139AB">
        <w:rPr>
          <w:rFonts w:ascii="Arial" w:hAnsi="Arial" w:cs="Arial"/>
        </w:rPr>
        <w:t xml:space="preserve"> (24/7)</w:t>
      </w:r>
    </w:p>
    <w:p w14:paraId="1D80EF7F" w14:textId="77777777" w:rsidR="000D084B" w:rsidRP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Illuminated touch screen</w:t>
      </w:r>
    </w:p>
    <w:p w14:paraId="767094D4" w14:textId="230A6303" w:rsidR="000D084B" w:rsidRDefault="000D084B" w:rsidP="00951D30">
      <w:pPr>
        <w:pStyle w:val="BodyText"/>
        <w:numPr>
          <w:ilvl w:val="0"/>
          <w:numId w:val="14"/>
        </w:numPr>
        <w:tabs>
          <w:tab w:val="left" w:pos="567"/>
        </w:tabs>
        <w:spacing w:line="360" w:lineRule="auto"/>
        <w:ind w:right="-7"/>
        <w:jc w:val="both"/>
        <w:rPr>
          <w:rFonts w:ascii="Arial" w:hAnsi="Arial" w:cs="Arial"/>
        </w:rPr>
      </w:pPr>
      <w:r w:rsidRPr="000D084B">
        <w:rPr>
          <w:rFonts w:ascii="Arial" w:hAnsi="Arial" w:cs="Arial"/>
        </w:rPr>
        <w:t xml:space="preserve">Provision </w:t>
      </w:r>
      <w:r w:rsidR="009139AB">
        <w:rPr>
          <w:rFonts w:ascii="Arial" w:hAnsi="Arial" w:cs="Arial"/>
        </w:rPr>
        <w:t xml:space="preserve">and roll out </w:t>
      </w:r>
      <w:r w:rsidRPr="000D084B">
        <w:rPr>
          <w:rFonts w:ascii="Arial" w:hAnsi="Arial" w:cs="Arial"/>
        </w:rPr>
        <w:t>of easy to understand training for all users</w:t>
      </w:r>
      <w:r w:rsidR="009139AB">
        <w:rPr>
          <w:rFonts w:ascii="Arial" w:hAnsi="Arial" w:cs="Arial"/>
        </w:rPr>
        <w:t xml:space="preserve"> (this can be provided via video, guide or in person)</w:t>
      </w:r>
    </w:p>
    <w:p w14:paraId="608531CB" w14:textId="77777777" w:rsidR="002378EA" w:rsidRPr="000D084B" w:rsidRDefault="002378EA" w:rsidP="002378EA">
      <w:pPr>
        <w:pStyle w:val="BodyText"/>
        <w:tabs>
          <w:tab w:val="left" w:pos="567"/>
        </w:tabs>
        <w:spacing w:line="360" w:lineRule="auto"/>
        <w:ind w:left="1080" w:right="-7"/>
        <w:jc w:val="both"/>
        <w:rPr>
          <w:rFonts w:ascii="Arial" w:hAnsi="Arial" w:cs="Arial"/>
        </w:rPr>
      </w:pPr>
    </w:p>
    <w:p w14:paraId="2675C425" w14:textId="570B7F81" w:rsidR="000D084B" w:rsidRPr="000D084B" w:rsidRDefault="00CF6C99" w:rsidP="00366F7F">
      <w:pPr>
        <w:pStyle w:val="BodyText"/>
        <w:spacing w:line="360" w:lineRule="auto"/>
        <w:ind w:right="-198"/>
        <w:jc w:val="both"/>
        <w:rPr>
          <w:rFonts w:ascii="Arial" w:eastAsia="Verdana" w:hAnsi="Arial" w:cs="Arial"/>
          <w:lang w:eastAsia="en-GB"/>
        </w:rPr>
      </w:pPr>
      <w:r>
        <w:rPr>
          <w:rFonts w:ascii="Arial" w:eastAsia="Verdana" w:hAnsi="Arial" w:cs="Arial"/>
          <w:lang w:eastAsia="en-GB"/>
        </w:rPr>
        <w:t>The S</w:t>
      </w:r>
      <w:r w:rsidR="000D084B" w:rsidRPr="000D084B">
        <w:rPr>
          <w:rFonts w:ascii="Arial" w:eastAsia="Verdana" w:hAnsi="Arial" w:cs="Arial"/>
          <w:lang w:eastAsia="en-GB"/>
        </w:rPr>
        <w:t>upplier must conform to the following standards and accreditations:</w:t>
      </w:r>
    </w:p>
    <w:p w14:paraId="0EF28D5F" w14:textId="578993DF" w:rsidR="000D084B" w:rsidRPr="000D084B" w:rsidRDefault="000D084B" w:rsidP="00366F7F">
      <w:pPr>
        <w:pStyle w:val="BodyText"/>
        <w:numPr>
          <w:ilvl w:val="0"/>
          <w:numId w:val="11"/>
        </w:numPr>
        <w:tabs>
          <w:tab w:val="left" w:pos="567"/>
        </w:tabs>
        <w:spacing w:line="360" w:lineRule="auto"/>
        <w:ind w:right="-7"/>
        <w:jc w:val="both"/>
        <w:rPr>
          <w:rFonts w:ascii="Arial" w:hAnsi="Arial" w:cs="Arial"/>
        </w:rPr>
      </w:pPr>
      <w:r w:rsidRPr="000D084B">
        <w:rPr>
          <w:rFonts w:ascii="Arial" w:hAnsi="Arial" w:cs="Arial"/>
        </w:rPr>
        <w:t>BS8484</w:t>
      </w:r>
      <w:r w:rsidR="009139AB">
        <w:rPr>
          <w:rFonts w:ascii="Arial" w:hAnsi="Arial" w:cs="Arial"/>
        </w:rPr>
        <w:t xml:space="preserve"> (or equivalent)</w:t>
      </w:r>
      <w:r w:rsidRPr="000D084B">
        <w:rPr>
          <w:rFonts w:ascii="Arial" w:hAnsi="Arial" w:cs="Arial"/>
        </w:rPr>
        <w:t xml:space="preserve"> Lone worker Code of Practice</w:t>
      </w:r>
    </w:p>
    <w:p w14:paraId="0A262565" w14:textId="25FF5830" w:rsidR="000D084B" w:rsidRPr="000D084B" w:rsidRDefault="000D084B" w:rsidP="00366F7F">
      <w:pPr>
        <w:pStyle w:val="BodyText"/>
        <w:numPr>
          <w:ilvl w:val="0"/>
          <w:numId w:val="11"/>
        </w:numPr>
        <w:tabs>
          <w:tab w:val="left" w:pos="567"/>
        </w:tabs>
        <w:spacing w:line="360" w:lineRule="auto"/>
        <w:ind w:right="-7"/>
        <w:jc w:val="both"/>
        <w:rPr>
          <w:rFonts w:ascii="Arial" w:hAnsi="Arial" w:cs="Arial"/>
        </w:rPr>
      </w:pPr>
      <w:r w:rsidRPr="000D084B">
        <w:rPr>
          <w:rFonts w:ascii="Arial" w:hAnsi="Arial" w:cs="Arial"/>
        </w:rPr>
        <w:t>EN 50518</w:t>
      </w:r>
      <w:r w:rsidR="009139AB">
        <w:rPr>
          <w:rFonts w:ascii="Arial" w:hAnsi="Arial" w:cs="Arial"/>
        </w:rPr>
        <w:t xml:space="preserve"> (or equivalent)</w:t>
      </w:r>
    </w:p>
    <w:p w14:paraId="747549C9" w14:textId="77777777" w:rsidR="000D084B" w:rsidRPr="000D084B" w:rsidRDefault="000D084B" w:rsidP="00366F7F">
      <w:pPr>
        <w:pStyle w:val="BodyText"/>
        <w:numPr>
          <w:ilvl w:val="0"/>
          <w:numId w:val="11"/>
        </w:numPr>
        <w:tabs>
          <w:tab w:val="left" w:pos="567"/>
        </w:tabs>
        <w:spacing w:line="360" w:lineRule="auto"/>
        <w:ind w:right="-7"/>
        <w:jc w:val="both"/>
        <w:rPr>
          <w:rFonts w:ascii="Arial" w:hAnsi="Arial" w:cs="Arial"/>
        </w:rPr>
      </w:pPr>
      <w:r w:rsidRPr="000D084B">
        <w:rPr>
          <w:rFonts w:ascii="Arial" w:hAnsi="Arial" w:cs="Arial"/>
        </w:rPr>
        <w:t>ISO27001 Information Management</w:t>
      </w:r>
    </w:p>
    <w:p w14:paraId="529CA9C4" w14:textId="77777777" w:rsidR="000D084B" w:rsidRPr="000D084B" w:rsidRDefault="000D084B" w:rsidP="00366F7F">
      <w:pPr>
        <w:pStyle w:val="BodyText"/>
        <w:numPr>
          <w:ilvl w:val="0"/>
          <w:numId w:val="11"/>
        </w:numPr>
        <w:tabs>
          <w:tab w:val="left" w:pos="567"/>
        </w:tabs>
        <w:spacing w:line="360" w:lineRule="auto"/>
        <w:ind w:right="-7"/>
        <w:jc w:val="both"/>
        <w:rPr>
          <w:rFonts w:ascii="Arial" w:hAnsi="Arial" w:cs="Arial"/>
        </w:rPr>
      </w:pPr>
      <w:r w:rsidRPr="000D084B">
        <w:rPr>
          <w:rFonts w:ascii="Arial" w:hAnsi="Arial" w:cs="Arial"/>
        </w:rPr>
        <w:t>Cyber essentials plus</w:t>
      </w:r>
    </w:p>
    <w:p w14:paraId="5F29A6E2" w14:textId="77777777" w:rsidR="000D084B" w:rsidRPr="000D084B" w:rsidRDefault="000D084B" w:rsidP="00366F7F">
      <w:pPr>
        <w:pStyle w:val="BodyText"/>
        <w:numPr>
          <w:ilvl w:val="0"/>
          <w:numId w:val="11"/>
        </w:numPr>
        <w:tabs>
          <w:tab w:val="left" w:pos="567"/>
        </w:tabs>
        <w:spacing w:line="360" w:lineRule="auto"/>
        <w:ind w:right="-7"/>
        <w:jc w:val="both"/>
        <w:rPr>
          <w:rFonts w:ascii="Arial" w:hAnsi="Arial" w:cs="Arial"/>
        </w:rPr>
      </w:pPr>
      <w:r w:rsidRPr="000D084B">
        <w:rPr>
          <w:rFonts w:ascii="Arial" w:hAnsi="Arial" w:cs="Arial"/>
        </w:rPr>
        <w:t>ISO9001 International Standard for Quality Management Systems</w:t>
      </w:r>
    </w:p>
    <w:p w14:paraId="5BF40E68" w14:textId="77777777" w:rsidR="00643F40" w:rsidRDefault="00643F40" w:rsidP="00643F40">
      <w:pPr>
        <w:jc w:val="both"/>
        <w:rPr>
          <w:color w:val="FF0000"/>
          <w:lang w:val="en-US"/>
        </w:rPr>
      </w:pPr>
    </w:p>
    <w:p w14:paraId="65FCEAE6" w14:textId="24715999" w:rsidR="00A0398C" w:rsidRDefault="00A0398C" w:rsidP="00643F40">
      <w:pPr>
        <w:rPr>
          <w:color w:val="FF0000"/>
          <w:lang w:val="en-US"/>
        </w:rPr>
      </w:pPr>
      <w:r>
        <w:rPr>
          <w:color w:val="auto"/>
          <w:lang w:val="en-US"/>
        </w:rPr>
        <w:t>T</w:t>
      </w:r>
      <w:r w:rsidRPr="00366F7F">
        <w:rPr>
          <w:color w:val="auto"/>
          <w:lang w:val="en-US"/>
        </w:rPr>
        <w:t xml:space="preserve">he Supplier must offer open lines of communication via phone and email for GBC staff to receive advice and discuss requirements.  </w:t>
      </w:r>
      <w:r>
        <w:rPr>
          <w:color w:val="auto"/>
          <w:lang w:val="en-US"/>
        </w:rPr>
        <w:t>For general enquiries relating to the contract, t</w:t>
      </w:r>
      <w:r w:rsidRPr="00366F7F">
        <w:rPr>
          <w:color w:val="auto"/>
          <w:lang w:val="en-US"/>
        </w:rPr>
        <w:t>his must be available Monday to Friday from 9am until 5pm.</w:t>
      </w:r>
      <w:r>
        <w:rPr>
          <w:color w:val="auto"/>
          <w:lang w:val="en-US"/>
        </w:rPr>
        <w:t xml:space="preserve"> With regard to lone worker device monitoring, this must be available 24 hours a day, 7 days a week.</w:t>
      </w:r>
    </w:p>
    <w:p w14:paraId="2B87050C" w14:textId="77777777" w:rsidR="00A0398C" w:rsidRPr="00A0398C" w:rsidRDefault="00A0398C" w:rsidP="00643F40">
      <w:pPr>
        <w:rPr>
          <w:color w:val="FF0000"/>
          <w:lang w:val="en-US"/>
        </w:rPr>
      </w:pPr>
    </w:p>
    <w:p w14:paraId="6AF12F57" w14:textId="2714DA06" w:rsidR="00CF6C99" w:rsidRDefault="009178B3" w:rsidP="00643F40">
      <w:pPr>
        <w:rPr>
          <w:rFonts w:eastAsia="Verdana"/>
          <w:lang w:eastAsia="en-GB"/>
        </w:rPr>
      </w:pPr>
      <w:r>
        <w:rPr>
          <w:rFonts w:eastAsia="Verdana"/>
          <w:lang w:eastAsia="en-GB"/>
        </w:rPr>
        <w:t>Suppliers compliant with the Mandatory Requirements (Schedule 1, Quotation Response Document), will be invited to demonstrate their device on 16</w:t>
      </w:r>
      <w:r w:rsidRPr="009178B3">
        <w:rPr>
          <w:rFonts w:eastAsia="Verdana"/>
          <w:vertAlign w:val="superscript"/>
          <w:lang w:eastAsia="en-GB"/>
        </w:rPr>
        <w:t>th</w:t>
      </w:r>
      <w:r>
        <w:rPr>
          <w:rFonts w:eastAsia="Verdana"/>
          <w:lang w:eastAsia="en-GB"/>
        </w:rPr>
        <w:t xml:space="preserve"> April 2024 either by Microsoft Teams or in person at the Town Hall.  Time slots of 45 minutes will be offered between 0930 and 1600.</w:t>
      </w:r>
    </w:p>
    <w:p w14:paraId="1F5117F4" w14:textId="77777777" w:rsidR="00CF6C99" w:rsidRDefault="00CF6C99" w:rsidP="00643F40">
      <w:pPr>
        <w:rPr>
          <w:color w:val="auto"/>
          <w:lang w:val="en-US"/>
        </w:rPr>
      </w:pPr>
    </w:p>
    <w:p w14:paraId="654E9666" w14:textId="4F074FB2" w:rsidR="00C00D19" w:rsidRDefault="00C00D19" w:rsidP="00D41D8C">
      <w:pPr>
        <w:jc w:val="both"/>
        <w:rPr>
          <w:lang w:val="en-US"/>
        </w:rPr>
      </w:pPr>
    </w:p>
    <w:p w14:paraId="668931EF" w14:textId="2F7793FE" w:rsidR="00FE1282" w:rsidRDefault="00FE1282" w:rsidP="00D41D8C">
      <w:pPr>
        <w:jc w:val="both"/>
        <w:rPr>
          <w:lang w:val="en-US"/>
        </w:rPr>
      </w:pPr>
    </w:p>
    <w:p w14:paraId="19753B63" w14:textId="16733138" w:rsidR="00FE1282" w:rsidRDefault="00FE1282" w:rsidP="00D41D8C">
      <w:pPr>
        <w:jc w:val="both"/>
        <w:rPr>
          <w:lang w:val="en-US"/>
        </w:rPr>
      </w:pPr>
    </w:p>
    <w:p w14:paraId="5C33F2D4" w14:textId="66A3D769" w:rsidR="00FE1282" w:rsidRDefault="00FE1282" w:rsidP="00D41D8C">
      <w:pPr>
        <w:jc w:val="both"/>
        <w:rPr>
          <w:lang w:val="en-US"/>
        </w:rPr>
      </w:pPr>
    </w:p>
    <w:p w14:paraId="368BCAD6" w14:textId="77777777" w:rsidR="00FE1282" w:rsidRPr="00AB124C" w:rsidRDefault="00FE1282" w:rsidP="00D41D8C">
      <w:pPr>
        <w:jc w:val="both"/>
        <w:rPr>
          <w:lang w:val="en-US"/>
        </w:rPr>
      </w:pPr>
    </w:p>
    <w:p w14:paraId="12ECC3D0" w14:textId="77777777" w:rsidR="00C00D19" w:rsidRPr="00AB124C" w:rsidRDefault="00C00D19" w:rsidP="00AB124C">
      <w:pPr>
        <w:pStyle w:val="Heading1"/>
        <w:numPr>
          <w:ilvl w:val="0"/>
          <w:numId w:val="1"/>
        </w:numPr>
        <w:ind w:left="426" w:hanging="426"/>
        <w:jc w:val="both"/>
        <w:rPr>
          <w:rFonts w:cs="Arial"/>
          <w:szCs w:val="24"/>
          <w:lang w:val="en-US"/>
        </w:rPr>
      </w:pPr>
      <w:bookmarkStart w:id="3" w:name="_Toc160714157"/>
      <w:r w:rsidRPr="00AB124C">
        <w:rPr>
          <w:rFonts w:cs="Arial"/>
          <w:szCs w:val="24"/>
          <w:lang w:val="en-US"/>
        </w:rPr>
        <w:lastRenderedPageBreak/>
        <w:t>Insurance</w:t>
      </w:r>
      <w:bookmarkEnd w:id="3"/>
    </w:p>
    <w:p w14:paraId="2020C69A" w14:textId="77777777" w:rsidR="00C00D19" w:rsidRPr="00AB124C" w:rsidRDefault="00C00D19" w:rsidP="00AB124C">
      <w:pPr>
        <w:ind w:left="426" w:hanging="426"/>
        <w:jc w:val="both"/>
        <w:rPr>
          <w:lang w:val="en-US"/>
        </w:rPr>
      </w:pPr>
    </w:p>
    <w:p w14:paraId="386483CE" w14:textId="77777777" w:rsidR="00D41D8C" w:rsidRPr="00D41D8C" w:rsidRDefault="00D41D8C" w:rsidP="00D41D8C">
      <w:pPr>
        <w:autoSpaceDE w:val="0"/>
        <w:autoSpaceDN w:val="0"/>
        <w:adjustRightInd w:val="0"/>
        <w:spacing w:line="240" w:lineRule="auto"/>
        <w:jc w:val="both"/>
        <w:rPr>
          <w:color w:val="auto"/>
        </w:rPr>
      </w:pPr>
      <w:r w:rsidRPr="00D41D8C">
        <w:rPr>
          <w:color w:val="auto"/>
        </w:rPr>
        <w:t>The Supplier will maintain the following insurance cover for the duration of the commission and provide evidence of cover to the Council at any time when requested by GBC.</w:t>
      </w:r>
    </w:p>
    <w:p w14:paraId="6C28468F" w14:textId="77777777" w:rsidR="00415D04" w:rsidRPr="00AB124C" w:rsidRDefault="00415D04" w:rsidP="00AB124C">
      <w:pPr>
        <w:autoSpaceDE w:val="0"/>
        <w:autoSpaceDN w:val="0"/>
        <w:adjustRightInd w:val="0"/>
        <w:spacing w:line="240" w:lineRule="auto"/>
        <w:jc w:val="both"/>
        <w:rPr>
          <w:color w:val="4F81BD" w:themeColor="accent1"/>
        </w:rPr>
      </w:pPr>
    </w:p>
    <w:tbl>
      <w:tblPr>
        <w:tblStyle w:val="TableGrid"/>
        <w:tblW w:w="0" w:type="auto"/>
        <w:jc w:val="center"/>
        <w:tblLook w:val="04A0" w:firstRow="1" w:lastRow="0" w:firstColumn="1" w:lastColumn="0" w:noHBand="0" w:noVBand="1"/>
      </w:tblPr>
      <w:tblGrid>
        <w:gridCol w:w="2977"/>
        <w:gridCol w:w="3260"/>
      </w:tblGrid>
      <w:tr w:rsidR="00415D04" w:rsidRPr="00AB124C" w14:paraId="666A7674" w14:textId="77777777" w:rsidTr="00415D04">
        <w:trPr>
          <w:jc w:val="center"/>
        </w:trPr>
        <w:tc>
          <w:tcPr>
            <w:tcW w:w="2977" w:type="dxa"/>
            <w:shd w:val="clear" w:color="auto" w:fill="F2F2F2" w:themeFill="background1" w:themeFillShade="F2"/>
          </w:tcPr>
          <w:p w14:paraId="6027D69B" w14:textId="77777777" w:rsidR="00415D04" w:rsidRPr="00366F7F" w:rsidRDefault="00415D04" w:rsidP="00AB124C">
            <w:pPr>
              <w:autoSpaceDE w:val="0"/>
              <w:autoSpaceDN w:val="0"/>
              <w:adjustRightInd w:val="0"/>
              <w:ind w:left="142"/>
              <w:jc w:val="both"/>
              <w:rPr>
                <w:rFonts w:ascii="Arial" w:hAnsi="Arial" w:cs="Arial"/>
                <w:b/>
              </w:rPr>
            </w:pPr>
            <w:r w:rsidRPr="00366F7F">
              <w:rPr>
                <w:rFonts w:ascii="Arial" w:hAnsi="Arial" w:cs="Arial"/>
                <w:b/>
              </w:rPr>
              <w:t>Insurance:</w:t>
            </w:r>
          </w:p>
        </w:tc>
        <w:tc>
          <w:tcPr>
            <w:tcW w:w="3260" w:type="dxa"/>
            <w:shd w:val="clear" w:color="auto" w:fill="F2F2F2" w:themeFill="background1" w:themeFillShade="F2"/>
          </w:tcPr>
          <w:p w14:paraId="7360DF7B" w14:textId="77777777" w:rsidR="00415D04" w:rsidRPr="00366F7F" w:rsidRDefault="00415D04" w:rsidP="00AB124C">
            <w:pPr>
              <w:autoSpaceDE w:val="0"/>
              <w:autoSpaceDN w:val="0"/>
              <w:adjustRightInd w:val="0"/>
              <w:ind w:left="57" w:hanging="57"/>
              <w:jc w:val="both"/>
              <w:rPr>
                <w:rFonts w:ascii="Arial" w:hAnsi="Arial" w:cs="Arial"/>
                <w:b/>
              </w:rPr>
            </w:pPr>
            <w:r w:rsidRPr="00366F7F">
              <w:rPr>
                <w:rFonts w:ascii="Arial" w:hAnsi="Arial" w:cs="Arial"/>
                <w:b/>
              </w:rPr>
              <w:t>Minimum value required</w:t>
            </w:r>
          </w:p>
        </w:tc>
      </w:tr>
      <w:tr w:rsidR="00AB124C" w:rsidRPr="00AB124C" w14:paraId="4A82E967" w14:textId="77777777" w:rsidTr="00415D04">
        <w:trPr>
          <w:jc w:val="center"/>
        </w:trPr>
        <w:tc>
          <w:tcPr>
            <w:tcW w:w="2977" w:type="dxa"/>
          </w:tcPr>
          <w:p w14:paraId="1D4F3B40" w14:textId="77777777" w:rsidR="00415D04" w:rsidRPr="00366F7F" w:rsidRDefault="00415D04" w:rsidP="00AB124C">
            <w:pPr>
              <w:autoSpaceDE w:val="0"/>
              <w:autoSpaceDN w:val="0"/>
              <w:adjustRightInd w:val="0"/>
              <w:ind w:left="142"/>
              <w:jc w:val="both"/>
              <w:rPr>
                <w:rFonts w:ascii="Arial" w:hAnsi="Arial" w:cs="Arial"/>
              </w:rPr>
            </w:pPr>
            <w:r w:rsidRPr="00366F7F">
              <w:rPr>
                <w:rFonts w:ascii="Arial" w:hAnsi="Arial" w:cs="Arial"/>
              </w:rPr>
              <w:t xml:space="preserve">Public Liability </w:t>
            </w:r>
          </w:p>
        </w:tc>
        <w:tc>
          <w:tcPr>
            <w:tcW w:w="3260" w:type="dxa"/>
          </w:tcPr>
          <w:p w14:paraId="03A0CA70" w14:textId="77777777" w:rsidR="00415D04" w:rsidRPr="00366F7F" w:rsidRDefault="00415D04" w:rsidP="00AB124C">
            <w:pPr>
              <w:autoSpaceDE w:val="0"/>
              <w:autoSpaceDN w:val="0"/>
              <w:adjustRightInd w:val="0"/>
              <w:ind w:left="57" w:hanging="57"/>
              <w:jc w:val="both"/>
              <w:rPr>
                <w:rFonts w:ascii="Arial" w:hAnsi="Arial" w:cs="Arial"/>
              </w:rPr>
            </w:pPr>
            <w:r w:rsidRPr="00366F7F">
              <w:rPr>
                <w:rFonts w:ascii="Arial" w:hAnsi="Arial" w:cs="Arial"/>
              </w:rPr>
              <w:t xml:space="preserve">£10 million </w:t>
            </w:r>
          </w:p>
        </w:tc>
      </w:tr>
      <w:tr w:rsidR="00AB124C" w:rsidRPr="00AB124C" w14:paraId="0BA160D7" w14:textId="77777777" w:rsidTr="00415D04">
        <w:trPr>
          <w:jc w:val="center"/>
        </w:trPr>
        <w:tc>
          <w:tcPr>
            <w:tcW w:w="2977" w:type="dxa"/>
          </w:tcPr>
          <w:p w14:paraId="1B40EF89" w14:textId="77777777" w:rsidR="00415D04" w:rsidRPr="00366F7F" w:rsidRDefault="00415D04" w:rsidP="00AB124C">
            <w:pPr>
              <w:autoSpaceDE w:val="0"/>
              <w:autoSpaceDN w:val="0"/>
              <w:adjustRightInd w:val="0"/>
              <w:ind w:left="142"/>
              <w:jc w:val="both"/>
              <w:rPr>
                <w:rFonts w:ascii="Arial" w:hAnsi="Arial" w:cs="Arial"/>
              </w:rPr>
            </w:pPr>
            <w:r w:rsidRPr="00366F7F">
              <w:rPr>
                <w:rFonts w:ascii="Arial" w:hAnsi="Arial" w:cs="Arial"/>
              </w:rPr>
              <w:t>Employee Liability</w:t>
            </w:r>
          </w:p>
        </w:tc>
        <w:tc>
          <w:tcPr>
            <w:tcW w:w="3260" w:type="dxa"/>
          </w:tcPr>
          <w:p w14:paraId="25320974" w14:textId="77777777" w:rsidR="00415D04" w:rsidRPr="00366F7F" w:rsidRDefault="00415D04" w:rsidP="00AB124C">
            <w:pPr>
              <w:autoSpaceDE w:val="0"/>
              <w:autoSpaceDN w:val="0"/>
              <w:adjustRightInd w:val="0"/>
              <w:ind w:left="57" w:hanging="57"/>
              <w:jc w:val="both"/>
              <w:rPr>
                <w:rFonts w:ascii="Arial" w:hAnsi="Arial" w:cs="Arial"/>
              </w:rPr>
            </w:pPr>
            <w:r w:rsidRPr="00366F7F">
              <w:rPr>
                <w:rFonts w:ascii="Arial" w:hAnsi="Arial" w:cs="Arial"/>
              </w:rPr>
              <w:t>£5 million</w:t>
            </w:r>
          </w:p>
        </w:tc>
      </w:tr>
      <w:tr w:rsidR="00AB124C" w:rsidRPr="00AB124C" w14:paraId="49177184" w14:textId="77777777" w:rsidTr="00366F7F">
        <w:trPr>
          <w:trHeight w:val="70"/>
          <w:jc w:val="center"/>
        </w:trPr>
        <w:tc>
          <w:tcPr>
            <w:tcW w:w="2977" w:type="dxa"/>
          </w:tcPr>
          <w:p w14:paraId="490CC656" w14:textId="77777777" w:rsidR="00415D04" w:rsidRPr="00366F7F" w:rsidRDefault="00415D04" w:rsidP="00AB124C">
            <w:pPr>
              <w:autoSpaceDE w:val="0"/>
              <w:autoSpaceDN w:val="0"/>
              <w:adjustRightInd w:val="0"/>
              <w:ind w:left="142"/>
              <w:jc w:val="both"/>
              <w:rPr>
                <w:rFonts w:ascii="Arial" w:hAnsi="Arial" w:cs="Arial"/>
              </w:rPr>
            </w:pPr>
            <w:r w:rsidRPr="00366F7F">
              <w:rPr>
                <w:rFonts w:ascii="Arial" w:hAnsi="Arial" w:cs="Arial"/>
              </w:rPr>
              <w:t xml:space="preserve">Professional Indemnity </w:t>
            </w:r>
          </w:p>
        </w:tc>
        <w:tc>
          <w:tcPr>
            <w:tcW w:w="3260" w:type="dxa"/>
          </w:tcPr>
          <w:p w14:paraId="0A21ADDB" w14:textId="77777777" w:rsidR="00415D04" w:rsidRPr="00366F7F" w:rsidRDefault="00415D04" w:rsidP="00AB124C">
            <w:pPr>
              <w:autoSpaceDE w:val="0"/>
              <w:autoSpaceDN w:val="0"/>
              <w:adjustRightInd w:val="0"/>
              <w:jc w:val="both"/>
              <w:rPr>
                <w:rFonts w:ascii="Arial" w:hAnsi="Arial" w:cs="Arial"/>
              </w:rPr>
            </w:pPr>
            <w:r w:rsidRPr="00366F7F">
              <w:rPr>
                <w:rFonts w:ascii="Arial" w:hAnsi="Arial" w:cs="Arial"/>
              </w:rPr>
              <w:t>£1 million</w:t>
            </w:r>
          </w:p>
        </w:tc>
      </w:tr>
    </w:tbl>
    <w:p w14:paraId="236AAF52" w14:textId="4D6402B6" w:rsidR="002378EA" w:rsidRDefault="002378EA" w:rsidP="00AB124C">
      <w:pPr>
        <w:pStyle w:val="Default"/>
        <w:jc w:val="both"/>
        <w:rPr>
          <w:sz w:val="22"/>
          <w:szCs w:val="22"/>
        </w:rPr>
      </w:pPr>
    </w:p>
    <w:p w14:paraId="10C8DA2F" w14:textId="73E913ED" w:rsidR="002378EA" w:rsidRDefault="002378EA">
      <w:pPr>
        <w:rPr>
          <w:color w:val="000000"/>
          <w:sz w:val="22"/>
          <w:szCs w:val="22"/>
        </w:rPr>
      </w:pPr>
    </w:p>
    <w:p w14:paraId="4ED49283" w14:textId="77777777" w:rsidR="00C00D19" w:rsidRPr="00AB124C" w:rsidRDefault="00ED1BA4" w:rsidP="00AB124C">
      <w:pPr>
        <w:pStyle w:val="Heading1"/>
        <w:numPr>
          <w:ilvl w:val="0"/>
          <w:numId w:val="1"/>
        </w:numPr>
        <w:ind w:left="426" w:hanging="426"/>
        <w:jc w:val="both"/>
        <w:rPr>
          <w:rFonts w:cs="Arial"/>
          <w:szCs w:val="24"/>
          <w:lang w:val="en-US"/>
        </w:rPr>
      </w:pPr>
      <w:bookmarkStart w:id="4" w:name="_Toc160714158"/>
      <w:r>
        <w:rPr>
          <w:rFonts w:cs="Arial"/>
          <w:szCs w:val="24"/>
          <w:lang w:val="en-US"/>
        </w:rPr>
        <w:t xml:space="preserve">Procurement </w:t>
      </w:r>
      <w:r w:rsidR="00C00D19" w:rsidRPr="00AB124C">
        <w:rPr>
          <w:rFonts w:cs="Arial"/>
          <w:szCs w:val="24"/>
          <w:lang w:val="en-US"/>
        </w:rPr>
        <w:t>Timetable</w:t>
      </w:r>
      <w:bookmarkEnd w:id="4"/>
    </w:p>
    <w:p w14:paraId="4C058E7F" w14:textId="77777777" w:rsidR="00C00D19" w:rsidRPr="00AB124C" w:rsidRDefault="00C00D19" w:rsidP="00AB124C">
      <w:pPr>
        <w:ind w:left="426" w:hanging="426"/>
        <w:jc w:val="both"/>
        <w:rPr>
          <w:color w:val="FF0000"/>
          <w:lang w:val="en-US"/>
        </w:rPr>
      </w:pPr>
    </w:p>
    <w:tbl>
      <w:tblPr>
        <w:tblStyle w:val="TableGrid"/>
        <w:tblW w:w="0" w:type="auto"/>
        <w:tblInd w:w="108" w:type="dxa"/>
        <w:tblLook w:val="04A0" w:firstRow="1" w:lastRow="0" w:firstColumn="1" w:lastColumn="0" w:noHBand="0" w:noVBand="1"/>
      </w:tblPr>
      <w:tblGrid>
        <w:gridCol w:w="5238"/>
        <w:gridCol w:w="3670"/>
      </w:tblGrid>
      <w:tr w:rsidR="00D41D8C" w:rsidRPr="003369E6" w14:paraId="51289A91" w14:textId="77777777" w:rsidTr="00D41D8C">
        <w:tc>
          <w:tcPr>
            <w:tcW w:w="5238" w:type="dxa"/>
          </w:tcPr>
          <w:p w14:paraId="39B5DBF6" w14:textId="77777777" w:rsidR="00D41D8C" w:rsidRPr="003369E6" w:rsidRDefault="00D41D8C" w:rsidP="00D41D8C">
            <w:pPr>
              <w:jc w:val="both"/>
              <w:rPr>
                <w:rFonts w:ascii="Arial" w:hAnsi="Arial" w:cs="Arial"/>
                <w:b/>
                <w:lang w:val="en-US"/>
              </w:rPr>
            </w:pPr>
            <w:r w:rsidRPr="003369E6">
              <w:rPr>
                <w:rFonts w:ascii="Arial" w:hAnsi="Arial" w:cs="Arial"/>
                <w:b/>
                <w:lang w:val="en-US"/>
              </w:rPr>
              <w:t>Event</w:t>
            </w:r>
          </w:p>
        </w:tc>
        <w:tc>
          <w:tcPr>
            <w:tcW w:w="3670" w:type="dxa"/>
          </w:tcPr>
          <w:p w14:paraId="10C42E15" w14:textId="77777777" w:rsidR="00D41D8C" w:rsidRPr="003369E6" w:rsidRDefault="00D41D8C" w:rsidP="00D41D8C">
            <w:pPr>
              <w:jc w:val="both"/>
              <w:rPr>
                <w:rFonts w:ascii="Arial" w:hAnsi="Arial" w:cs="Arial"/>
                <w:b/>
                <w:lang w:val="en-US"/>
              </w:rPr>
            </w:pPr>
            <w:r w:rsidRPr="003369E6">
              <w:rPr>
                <w:rFonts w:ascii="Arial" w:hAnsi="Arial" w:cs="Arial"/>
                <w:b/>
                <w:lang w:val="en-US"/>
              </w:rPr>
              <w:t>Indicative Date</w:t>
            </w:r>
          </w:p>
        </w:tc>
      </w:tr>
      <w:tr w:rsidR="00D41D8C" w:rsidRPr="003369E6" w14:paraId="4BA20E26" w14:textId="77777777" w:rsidTr="00D41D8C">
        <w:tc>
          <w:tcPr>
            <w:tcW w:w="5238" w:type="dxa"/>
          </w:tcPr>
          <w:p w14:paraId="1DBE9CB2" w14:textId="77777777" w:rsidR="00D41D8C" w:rsidRPr="003369E6" w:rsidRDefault="00D41D8C" w:rsidP="00D41D8C">
            <w:pPr>
              <w:jc w:val="both"/>
              <w:rPr>
                <w:rFonts w:ascii="Arial" w:hAnsi="Arial" w:cs="Arial"/>
                <w:lang w:val="en-US"/>
              </w:rPr>
            </w:pPr>
            <w:r w:rsidRPr="003369E6">
              <w:rPr>
                <w:rFonts w:ascii="Arial" w:hAnsi="Arial" w:cs="Arial"/>
                <w:lang w:val="en-US"/>
              </w:rPr>
              <w:t>Invitation to Quote published</w:t>
            </w:r>
          </w:p>
        </w:tc>
        <w:tc>
          <w:tcPr>
            <w:tcW w:w="3670" w:type="dxa"/>
          </w:tcPr>
          <w:p w14:paraId="348E2158" w14:textId="76AE7400" w:rsidR="00D41D8C" w:rsidRPr="003369E6" w:rsidRDefault="00A35126" w:rsidP="00D41D8C">
            <w:pPr>
              <w:jc w:val="both"/>
              <w:rPr>
                <w:rFonts w:ascii="Arial" w:hAnsi="Arial" w:cs="Arial"/>
                <w:lang w:val="en-US"/>
              </w:rPr>
            </w:pPr>
            <w:r>
              <w:rPr>
                <w:rFonts w:ascii="Arial" w:hAnsi="Arial" w:cs="Arial"/>
                <w:lang w:val="en-US"/>
              </w:rPr>
              <w:t>1</w:t>
            </w:r>
            <w:r w:rsidR="003111DF">
              <w:rPr>
                <w:rFonts w:ascii="Arial" w:hAnsi="Arial" w:cs="Arial"/>
                <w:lang w:val="en-US"/>
              </w:rPr>
              <w:t>2</w:t>
            </w:r>
            <w:r w:rsidR="00FE1282">
              <w:rPr>
                <w:rFonts w:ascii="Arial" w:hAnsi="Arial" w:cs="Arial"/>
                <w:lang w:val="en-US"/>
              </w:rPr>
              <w:t xml:space="preserve"> March 20</w:t>
            </w:r>
            <w:r>
              <w:rPr>
                <w:rFonts w:ascii="Arial" w:hAnsi="Arial" w:cs="Arial"/>
                <w:lang w:val="en-US"/>
              </w:rPr>
              <w:t>24</w:t>
            </w:r>
          </w:p>
        </w:tc>
      </w:tr>
      <w:tr w:rsidR="00D41D8C" w:rsidRPr="003369E6" w14:paraId="797CC983" w14:textId="77777777" w:rsidTr="00D41D8C">
        <w:tc>
          <w:tcPr>
            <w:tcW w:w="5238" w:type="dxa"/>
          </w:tcPr>
          <w:p w14:paraId="2305B833" w14:textId="77777777" w:rsidR="00D41D8C" w:rsidRPr="003369E6" w:rsidRDefault="00D41D8C" w:rsidP="00D41D8C">
            <w:pPr>
              <w:jc w:val="both"/>
              <w:rPr>
                <w:rFonts w:ascii="Arial" w:hAnsi="Arial" w:cs="Arial"/>
                <w:lang w:val="en-US"/>
              </w:rPr>
            </w:pPr>
            <w:r w:rsidRPr="003369E6">
              <w:rPr>
                <w:rFonts w:ascii="Arial" w:hAnsi="Arial" w:cs="Arial"/>
                <w:lang w:val="en-US"/>
              </w:rPr>
              <w:t>Deadline for clarifications</w:t>
            </w:r>
          </w:p>
        </w:tc>
        <w:tc>
          <w:tcPr>
            <w:tcW w:w="3670" w:type="dxa"/>
          </w:tcPr>
          <w:p w14:paraId="2D7841B0" w14:textId="54D820B7" w:rsidR="00D41D8C" w:rsidRPr="003369E6" w:rsidRDefault="00522BAA" w:rsidP="00FE1282">
            <w:pPr>
              <w:jc w:val="both"/>
              <w:rPr>
                <w:rFonts w:ascii="Arial" w:hAnsi="Arial" w:cs="Arial"/>
                <w:lang w:val="en-US"/>
              </w:rPr>
            </w:pPr>
            <w:r>
              <w:rPr>
                <w:rFonts w:ascii="Arial" w:hAnsi="Arial" w:cs="Arial"/>
                <w:lang w:val="en-US"/>
              </w:rPr>
              <w:t>26</w:t>
            </w:r>
            <w:r w:rsidR="00FE1282">
              <w:rPr>
                <w:rFonts w:ascii="Arial" w:hAnsi="Arial" w:cs="Arial"/>
                <w:lang w:val="en-US"/>
              </w:rPr>
              <w:t xml:space="preserve"> March 20</w:t>
            </w:r>
            <w:r>
              <w:rPr>
                <w:rFonts w:ascii="Arial" w:hAnsi="Arial" w:cs="Arial"/>
                <w:lang w:val="en-US"/>
              </w:rPr>
              <w:t>24</w:t>
            </w:r>
          </w:p>
        </w:tc>
      </w:tr>
      <w:tr w:rsidR="00D41D8C" w:rsidRPr="003369E6" w14:paraId="4FAD5178" w14:textId="77777777" w:rsidTr="00D41D8C">
        <w:tc>
          <w:tcPr>
            <w:tcW w:w="5238" w:type="dxa"/>
          </w:tcPr>
          <w:p w14:paraId="434B98DB" w14:textId="77777777" w:rsidR="00D41D8C" w:rsidRPr="003369E6" w:rsidRDefault="00D41D8C" w:rsidP="00D41D8C">
            <w:pPr>
              <w:jc w:val="both"/>
              <w:rPr>
                <w:rFonts w:ascii="Arial" w:hAnsi="Arial" w:cs="Arial"/>
                <w:lang w:val="en-US"/>
              </w:rPr>
            </w:pPr>
            <w:r w:rsidRPr="003369E6">
              <w:rPr>
                <w:rFonts w:ascii="Arial" w:hAnsi="Arial" w:cs="Arial"/>
                <w:lang w:val="en-US"/>
              </w:rPr>
              <w:t>Deadline for receipt of quotes</w:t>
            </w:r>
          </w:p>
        </w:tc>
        <w:tc>
          <w:tcPr>
            <w:tcW w:w="3670" w:type="dxa"/>
          </w:tcPr>
          <w:p w14:paraId="4633E38C" w14:textId="68AD0022" w:rsidR="00D41D8C" w:rsidRPr="003369E6" w:rsidRDefault="00522BAA" w:rsidP="00FE1282">
            <w:pPr>
              <w:jc w:val="both"/>
              <w:rPr>
                <w:rFonts w:ascii="Arial" w:hAnsi="Arial" w:cs="Arial"/>
                <w:lang w:val="en-US"/>
              </w:rPr>
            </w:pPr>
            <w:r>
              <w:rPr>
                <w:rFonts w:ascii="Arial" w:hAnsi="Arial" w:cs="Arial"/>
                <w:lang w:val="en-US"/>
              </w:rPr>
              <w:t xml:space="preserve">12:00PM, </w:t>
            </w:r>
            <w:r w:rsidR="00FE1282">
              <w:rPr>
                <w:rFonts w:ascii="Arial" w:hAnsi="Arial" w:cs="Arial"/>
                <w:lang w:val="en-US"/>
              </w:rPr>
              <w:t>9 April 2024</w:t>
            </w:r>
          </w:p>
        </w:tc>
      </w:tr>
      <w:tr w:rsidR="003111DF" w:rsidRPr="003369E6" w14:paraId="68360F2E" w14:textId="77777777" w:rsidTr="00D41D8C">
        <w:tc>
          <w:tcPr>
            <w:tcW w:w="5238" w:type="dxa"/>
          </w:tcPr>
          <w:p w14:paraId="6B300179" w14:textId="24AD25FB" w:rsidR="003111DF" w:rsidRPr="003369E6" w:rsidRDefault="003111DF" w:rsidP="00D41D8C">
            <w:pPr>
              <w:jc w:val="both"/>
              <w:rPr>
                <w:lang w:val="en-US"/>
              </w:rPr>
            </w:pPr>
            <w:r w:rsidRPr="00A35126">
              <w:rPr>
                <w:rFonts w:ascii="Arial" w:hAnsi="Arial" w:cs="Arial"/>
                <w:lang w:val="en-US"/>
              </w:rPr>
              <w:t>Device Demonstration</w:t>
            </w:r>
          </w:p>
        </w:tc>
        <w:tc>
          <w:tcPr>
            <w:tcW w:w="3670" w:type="dxa"/>
          </w:tcPr>
          <w:p w14:paraId="2BB56024" w14:textId="4A9963D0" w:rsidR="003111DF" w:rsidRPr="003111DF" w:rsidRDefault="00FE1282" w:rsidP="00FE1282">
            <w:pPr>
              <w:jc w:val="both"/>
              <w:rPr>
                <w:rFonts w:ascii="Arial" w:hAnsi="Arial" w:cs="Arial"/>
                <w:lang w:val="en-US"/>
              </w:rPr>
            </w:pPr>
            <w:r>
              <w:rPr>
                <w:rFonts w:ascii="Arial" w:hAnsi="Arial" w:cs="Arial"/>
                <w:lang w:val="en-US"/>
              </w:rPr>
              <w:t>16 April 2024</w:t>
            </w:r>
          </w:p>
        </w:tc>
      </w:tr>
      <w:tr w:rsidR="00D41D8C" w:rsidRPr="003369E6" w14:paraId="0E30ADB6" w14:textId="77777777" w:rsidTr="00D41D8C">
        <w:tc>
          <w:tcPr>
            <w:tcW w:w="5238" w:type="dxa"/>
          </w:tcPr>
          <w:p w14:paraId="471B39BE" w14:textId="77777777" w:rsidR="00D41D8C" w:rsidRPr="003369E6" w:rsidRDefault="00D41D8C" w:rsidP="00D41D8C">
            <w:pPr>
              <w:jc w:val="both"/>
              <w:rPr>
                <w:rFonts w:ascii="Arial" w:hAnsi="Arial" w:cs="Arial"/>
                <w:lang w:val="en-US"/>
              </w:rPr>
            </w:pPr>
            <w:r w:rsidRPr="003369E6">
              <w:rPr>
                <w:rFonts w:ascii="Arial" w:hAnsi="Arial" w:cs="Arial"/>
                <w:lang w:val="en-US"/>
              </w:rPr>
              <w:t>Evaluation completed by</w:t>
            </w:r>
          </w:p>
        </w:tc>
        <w:tc>
          <w:tcPr>
            <w:tcW w:w="3670" w:type="dxa"/>
          </w:tcPr>
          <w:p w14:paraId="7A82FCFF" w14:textId="704D11FC" w:rsidR="00D41D8C" w:rsidRPr="003369E6" w:rsidRDefault="00FE1282" w:rsidP="00FE1282">
            <w:pPr>
              <w:jc w:val="both"/>
              <w:rPr>
                <w:rFonts w:ascii="Arial" w:hAnsi="Arial" w:cs="Arial"/>
                <w:lang w:val="en-US"/>
              </w:rPr>
            </w:pPr>
            <w:r>
              <w:rPr>
                <w:rFonts w:ascii="Arial" w:hAnsi="Arial" w:cs="Arial"/>
                <w:lang w:val="en-US"/>
              </w:rPr>
              <w:t>30 April 2024</w:t>
            </w:r>
          </w:p>
        </w:tc>
      </w:tr>
      <w:tr w:rsidR="00D41D8C" w:rsidRPr="003369E6" w14:paraId="2CC41283" w14:textId="77777777" w:rsidTr="00D41D8C">
        <w:tc>
          <w:tcPr>
            <w:tcW w:w="5238" w:type="dxa"/>
          </w:tcPr>
          <w:p w14:paraId="7C84E852" w14:textId="77777777" w:rsidR="00D41D8C" w:rsidRPr="003369E6" w:rsidRDefault="00D41D8C" w:rsidP="00D41D8C">
            <w:pPr>
              <w:jc w:val="both"/>
              <w:rPr>
                <w:rFonts w:ascii="Arial" w:hAnsi="Arial" w:cs="Arial"/>
                <w:lang w:val="en-US"/>
              </w:rPr>
            </w:pPr>
            <w:r w:rsidRPr="003369E6">
              <w:rPr>
                <w:rFonts w:ascii="Arial" w:hAnsi="Arial" w:cs="Arial"/>
                <w:lang w:val="en-US"/>
              </w:rPr>
              <w:t>Notification of award decision</w:t>
            </w:r>
          </w:p>
        </w:tc>
        <w:tc>
          <w:tcPr>
            <w:tcW w:w="3670" w:type="dxa"/>
          </w:tcPr>
          <w:p w14:paraId="11D17D64" w14:textId="264DD40B" w:rsidR="00D41D8C" w:rsidRPr="003369E6" w:rsidRDefault="00FE1282" w:rsidP="00FE1282">
            <w:pPr>
              <w:jc w:val="both"/>
              <w:rPr>
                <w:rFonts w:ascii="Arial" w:hAnsi="Arial" w:cs="Arial"/>
                <w:lang w:val="en-US"/>
              </w:rPr>
            </w:pPr>
            <w:r>
              <w:rPr>
                <w:rFonts w:ascii="Arial" w:hAnsi="Arial" w:cs="Arial"/>
                <w:lang w:val="en-US"/>
              </w:rPr>
              <w:t xml:space="preserve">2 May </w:t>
            </w:r>
            <w:r w:rsidR="00D41D8C">
              <w:rPr>
                <w:rFonts w:ascii="Arial" w:hAnsi="Arial" w:cs="Arial"/>
                <w:lang w:val="en-US"/>
              </w:rPr>
              <w:t>20</w:t>
            </w:r>
            <w:r w:rsidR="00D41D8C" w:rsidRPr="003369E6">
              <w:rPr>
                <w:rFonts w:ascii="Arial" w:hAnsi="Arial" w:cs="Arial"/>
                <w:lang w:val="en-US"/>
              </w:rPr>
              <w:t xml:space="preserve">24 </w:t>
            </w:r>
          </w:p>
        </w:tc>
      </w:tr>
      <w:tr w:rsidR="00D41D8C" w:rsidRPr="003369E6" w14:paraId="6E2256AA" w14:textId="77777777" w:rsidTr="00D41D8C">
        <w:tc>
          <w:tcPr>
            <w:tcW w:w="5238" w:type="dxa"/>
          </w:tcPr>
          <w:p w14:paraId="7906F35E" w14:textId="77777777" w:rsidR="00D41D8C" w:rsidRPr="003369E6" w:rsidRDefault="00D41D8C" w:rsidP="00D41D8C">
            <w:pPr>
              <w:jc w:val="both"/>
              <w:rPr>
                <w:rFonts w:ascii="Arial" w:hAnsi="Arial" w:cs="Arial"/>
                <w:lang w:val="en-US"/>
              </w:rPr>
            </w:pPr>
            <w:r>
              <w:rPr>
                <w:rFonts w:ascii="Arial" w:hAnsi="Arial" w:cs="Arial"/>
                <w:lang w:val="en-US"/>
              </w:rPr>
              <w:t>Con</w:t>
            </w:r>
            <w:r w:rsidRPr="003369E6">
              <w:rPr>
                <w:rFonts w:ascii="Arial" w:hAnsi="Arial" w:cs="Arial"/>
                <w:lang w:val="en-US"/>
              </w:rPr>
              <w:t>t</w:t>
            </w:r>
            <w:r>
              <w:rPr>
                <w:rFonts w:ascii="Arial" w:hAnsi="Arial" w:cs="Arial"/>
                <w:lang w:val="en-US"/>
              </w:rPr>
              <w:t>ract start</w:t>
            </w:r>
            <w:r w:rsidRPr="003369E6">
              <w:rPr>
                <w:rFonts w:ascii="Arial" w:hAnsi="Arial" w:cs="Arial"/>
                <w:lang w:val="en-US"/>
              </w:rPr>
              <w:t xml:space="preserve"> date</w:t>
            </w:r>
          </w:p>
        </w:tc>
        <w:tc>
          <w:tcPr>
            <w:tcW w:w="3670" w:type="dxa"/>
          </w:tcPr>
          <w:p w14:paraId="1AB35DCE" w14:textId="51D4821E" w:rsidR="00D41D8C" w:rsidRPr="003369E6" w:rsidRDefault="00522BAA" w:rsidP="00FE1282">
            <w:pPr>
              <w:jc w:val="both"/>
              <w:rPr>
                <w:rFonts w:ascii="Arial" w:hAnsi="Arial" w:cs="Arial"/>
                <w:lang w:val="en-US"/>
              </w:rPr>
            </w:pPr>
            <w:r>
              <w:rPr>
                <w:rFonts w:ascii="Arial" w:hAnsi="Arial" w:cs="Arial"/>
                <w:lang w:val="en-US"/>
              </w:rPr>
              <w:t>22</w:t>
            </w:r>
            <w:r w:rsidR="00FE1282">
              <w:rPr>
                <w:rFonts w:ascii="Arial" w:hAnsi="Arial" w:cs="Arial"/>
                <w:lang w:val="en-US"/>
              </w:rPr>
              <w:t xml:space="preserve"> May </w:t>
            </w:r>
            <w:r w:rsidR="00D41D8C">
              <w:rPr>
                <w:rFonts w:ascii="Arial" w:hAnsi="Arial" w:cs="Arial"/>
                <w:lang w:val="en-US"/>
              </w:rPr>
              <w:t>20</w:t>
            </w:r>
            <w:r w:rsidR="00D41D8C" w:rsidRPr="003369E6">
              <w:rPr>
                <w:rFonts w:ascii="Arial" w:hAnsi="Arial" w:cs="Arial"/>
                <w:lang w:val="en-US"/>
              </w:rPr>
              <w:t>24</w:t>
            </w:r>
          </w:p>
        </w:tc>
      </w:tr>
      <w:tr w:rsidR="00D41D8C" w:rsidRPr="003369E6" w14:paraId="0AA41798" w14:textId="77777777" w:rsidTr="00D41D8C">
        <w:tc>
          <w:tcPr>
            <w:tcW w:w="5238" w:type="dxa"/>
          </w:tcPr>
          <w:p w14:paraId="3663A5C1" w14:textId="77777777" w:rsidR="00D41D8C" w:rsidRPr="003369E6" w:rsidRDefault="00D41D8C" w:rsidP="00D41D8C">
            <w:pPr>
              <w:jc w:val="both"/>
              <w:rPr>
                <w:rFonts w:ascii="Arial" w:hAnsi="Arial" w:cs="Arial"/>
                <w:lang w:val="en-US"/>
              </w:rPr>
            </w:pPr>
            <w:r w:rsidRPr="003369E6">
              <w:rPr>
                <w:rFonts w:ascii="Arial" w:hAnsi="Arial" w:cs="Arial"/>
                <w:lang w:val="en-US"/>
              </w:rPr>
              <w:t>C</w:t>
            </w:r>
            <w:r>
              <w:rPr>
                <w:rFonts w:ascii="Arial" w:hAnsi="Arial" w:cs="Arial"/>
                <w:lang w:val="en-US"/>
              </w:rPr>
              <w:t>ontract expiry</w:t>
            </w:r>
            <w:r w:rsidRPr="003369E6">
              <w:rPr>
                <w:rFonts w:ascii="Arial" w:hAnsi="Arial" w:cs="Arial"/>
                <w:lang w:val="en-US"/>
              </w:rPr>
              <w:t xml:space="preserve"> date</w:t>
            </w:r>
          </w:p>
        </w:tc>
        <w:tc>
          <w:tcPr>
            <w:tcW w:w="3670" w:type="dxa"/>
          </w:tcPr>
          <w:p w14:paraId="27DAA978" w14:textId="07EB1E90" w:rsidR="00D41D8C" w:rsidRPr="003369E6" w:rsidRDefault="00FE1282" w:rsidP="00FE1282">
            <w:pPr>
              <w:jc w:val="both"/>
              <w:rPr>
                <w:rFonts w:ascii="Arial" w:hAnsi="Arial" w:cs="Arial"/>
                <w:lang w:val="en-US"/>
              </w:rPr>
            </w:pPr>
            <w:r>
              <w:rPr>
                <w:rFonts w:ascii="Arial" w:hAnsi="Arial" w:cs="Arial"/>
                <w:lang w:val="en-US"/>
              </w:rPr>
              <w:t xml:space="preserve">21 May </w:t>
            </w:r>
            <w:r w:rsidR="00D41D8C">
              <w:rPr>
                <w:rFonts w:ascii="Arial" w:hAnsi="Arial" w:cs="Arial"/>
                <w:lang w:val="en-US"/>
              </w:rPr>
              <w:t>20</w:t>
            </w:r>
            <w:r w:rsidR="00574CFF">
              <w:rPr>
                <w:rFonts w:ascii="Arial" w:hAnsi="Arial" w:cs="Arial"/>
                <w:lang w:val="en-US"/>
              </w:rPr>
              <w:t>25</w:t>
            </w:r>
          </w:p>
        </w:tc>
      </w:tr>
      <w:tr w:rsidR="00D41D8C" w:rsidRPr="003369E6" w14:paraId="38E8697C" w14:textId="77777777" w:rsidTr="00D41D8C">
        <w:tc>
          <w:tcPr>
            <w:tcW w:w="5238" w:type="dxa"/>
          </w:tcPr>
          <w:p w14:paraId="5429E222" w14:textId="77777777" w:rsidR="00D41D8C" w:rsidRPr="003369E6" w:rsidRDefault="00D41D8C" w:rsidP="00D41D8C">
            <w:pPr>
              <w:jc w:val="both"/>
              <w:rPr>
                <w:rFonts w:ascii="Arial" w:hAnsi="Arial" w:cs="Arial"/>
                <w:lang w:val="en-US"/>
              </w:rPr>
            </w:pPr>
            <w:r>
              <w:rPr>
                <w:rFonts w:ascii="Arial" w:hAnsi="Arial" w:cs="Arial"/>
                <w:lang w:val="en-US"/>
              </w:rPr>
              <w:t>Optional extension period</w:t>
            </w:r>
          </w:p>
        </w:tc>
        <w:tc>
          <w:tcPr>
            <w:tcW w:w="3670" w:type="dxa"/>
          </w:tcPr>
          <w:p w14:paraId="65D509DE" w14:textId="09695960" w:rsidR="00D41D8C" w:rsidRDefault="00522BAA" w:rsidP="00FE1282">
            <w:pPr>
              <w:jc w:val="both"/>
              <w:rPr>
                <w:rFonts w:ascii="Arial" w:hAnsi="Arial" w:cs="Arial"/>
                <w:lang w:val="en-US"/>
              </w:rPr>
            </w:pPr>
            <w:r>
              <w:rPr>
                <w:rFonts w:ascii="Arial" w:hAnsi="Arial" w:cs="Arial"/>
                <w:lang w:val="en-US"/>
              </w:rPr>
              <w:t>22</w:t>
            </w:r>
            <w:r w:rsidR="00FE1282">
              <w:rPr>
                <w:rFonts w:ascii="Arial" w:hAnsi="Arial" w:cs="Arial"/>
                <w:lang w:val="en-US"/>
              </w:rPr>
              <w:t xml:space="preserve"> May 2025 – 21 May </w:t>
            </w:r>
            <w:r w:rsidR="00574CFF">
              <w:rPr>
                <w:rFonts w:ascii="Arial" w:hAnsi="Arial" w:cs="Arial"/>
                <w:lang w:val="en-US"/>
              </w:rPr>
              <w:t>2026</w:t>
            </w:r>
          </w:p>
        </w:tc>
      </w:tr>
    </w:tbl>
    <w:p w14:paraId="028C9ABE" w14:textId="7D3EC122" w:rsidR="001830B3" w:rsidRDefault="001830B3">
      <w:pPr>
        <w:rPr>
          <w:rFonts w:eastAsiaTheme="majorEastAsia"/>
          <w:b/>
          <w:color w:val="auto"/>
          <w:u w:val="single"/>
          <w:lang w:val="en-US"/>
        </w:rPr>
      </w:pPr>
    </w:p>
    <w:p w14:paraId="67192684" w14:textId="77777777" w:rsidR="00C00D19" w:rsidRPr="00AB124C" w:rsidRDefault="00C00D19" w:rsidP="00AB124C">
      <w:pPr>
        <w:pStyle w:val="Heading1"/>
        <w:numPr>
          <w:ilvl w:val="0"/>
          <w:numId w:val="1"/>
        </w:numPr>
        <w:ind w:left="426" w:hanging="426"/>
        <w:jc w:val="both"/>
        <w:rPr>
          <w:rFonts w:cs="Arial"/>
          <w:szCs w:val="24"/>
          <w:lang w:val="en-US"/>
        </w:rPr>
      </w:pPr>
      <w:bookmarkStart w:id="5" w:name="_Toc160714159"/>
      <w:r w:rsidRPr="00AB124C">
        <w:rPr>
          <w:rFonts w:cs="Arial"/>
          <w:szCs w:val="24"/>
          <w:lang w:val="en-US"/>
        </w:rPr>
        <w:t>Instructions on submitting a response</w:t>
      </w:r>
      <w:bookmarkEnd w:id="5"/>
    </w:p>
    <w:p w14:paraId="4AE77856" w14:textId="5F727D4A" w:rsidR="00A76F29" w:rsidRDefault="00A76F29" w:rsidP="00AB124C">
      <w:pPr>
        <w:ind w:left="426" w:hanging="426"/>
        <w:jc w:val="both"/>
        <w:rPr>
          <w:lang w:val="en-US"/>
        </w:rPr>
      </w:pPr>
    </w:p>
    <w:p w14:paraId="344556BF" w14:textId="60007AAB" w:rsidR="003E043C" w:rsidRDefault="00161461" w:rsidP="003940AE">
      <w:pPr>
        <w:rPr>
          <w:color w:val="auto"/>
          <w:lang w:val="en-US"/>
        </w:rPr>
      </w:pPr>
      <w:r>
        <w:rPr>
          <w:color w:val="auto"/>
          <w:lang w:val="en-US"/>
        </w:rPr>
        <w:t>Suppliers</w:t>
      </w:r>
      <w:r w:rsidR="003940AE">
        <w:rPr>
          <w:color w:val="auto"/>
          <w:lang w:val="en-US"/>
        </w:rPr>
        <w:t xml:space="preserve"> must complete the Quotation Response Document </w:t>
      </w:r>
      <w:r w:rsidR="002378EA">
        <w:rPr>
          <w:color w:val="auto"/>
          <w:lang w:val="en-US"/>
        </w:rPr>
        <w:t>(schedule 1) in full, this</w:t>
      </w:r>
      <w:r>
        <w:rPr>
          <w:color w:val="auto"/>
          <w:lang w:val="en-US"/>
        </w:rPr>
        <w:t xml:space="preserve"> </w:t>
      </w:r>
      <w:r w:rsidR="00643F40" w:rsidRPr="003369E6">
        <w:rPr>
          <w:color w:val="auto"/>
          <w:lang w:val="en-US"/>
        </w:rPr>
        <w:t xml:space="preserve">must be uploaded via the Proactis portal, also known as the South East Business Portal: </w:t>
      </w:r>
      <w:hyperlink r:id="rId11" w:history="1">
        <w:r w:rsidR="00643F40" w:rsidRPr="003369E6">
          <w:rPr>
            <w:rStyle w:val="Hyperlink"/>
            <w:color w:val="548DD4" w:themeColor="text2" w:themeTint="99"/>
          </w:rPr>
          <w:t>https://sebp.due-north.com/</w:t>
        </w:r>
      </w:hyperlink>
      <w:r w:rsidR="003C72DD" w:rsidRPr="003369E6">
        <w:rPr>
          <w:rStyle w:val="Hyperlink"/>
          <w:color w:val="auto"/>
          <w:u w:val="none"/>
        </w:rPr>
        <w:t xml:space="preserve">, </w:t>
      </w:r>
      <w:r w:rsidR="00FD0BAA" w:rsidRPr="003369E6">
        <w:rPr>
          <w:rStyle w:val="Hyperlink"/>
          <w:color w:val="auto"/>
          <w:u w:val="none"/>
        </w:rPr>
        <w:t xml:space="preserve">and submitted </w:t>
      </w:r>
      <w:r w:rsidR="005E3F40" w:rsidRPr="003369E6">
        <w:rPr>
          <w:color w:val="auto"/>
          <w:lang w:val="en-US"/>
        </w:rPr>
        <w:t xml:space="preserve">no later than the time and date specified in the </w:t>
      </w:r>
      <w:r w:rsidR="003C72DD" w:rsidRPr="003369E6">
        <w:rPr>
          <w:color w:val="auto"/>
          <w:lang w:val="en-US"/>
        </w:rPr>
        <w:t>procurement</w:t>
      </w:r>
      <w:r w:rsidR="005E3F40" w:rsidRPr="003369E6">
        <w:rPr>
          <w:color w:val="auto"/>
          <w:lang w:val="en-US"/>
        </w:rPr>
        <w:t xml:space="preserve"> timetable.</w:t>
      </w:r>
      <w:r w:rsidR="00643F40" w:rsidRPr="003369E6">
        <w:rPr>
          <w:color w:val="auto"/>
          <w:lang w:val="en-US"/>
        </w:rPr>
        <w:t xml:space="preserve"> </w:t>
      </w:r>
    </w:p>
    <w:p w14:paraId="0D6EE211" w14:textId="050816E8" w:rsidR="00FE1282" w:rsidRDefault="00FE1282" w:rsidP="003940AE">
      <w:pPr>
        <w:rPr>
          <w:color w:val="auto"/>
          <w:lang w:val="en-US"/>
        </w:rPr>
      </w:pPr>
    </w:p>
    <w:p w14:paraId="2263687F" w14:textId="3B7CD508" w:rsidR="00FE1282" w:rsidRDefault="00FE1282" w:rsidP="003940AE">
      <w:pPr>
        <w:rPr>
          <w:color w:val="auto"/>
          <w:lang w:val="en-US"/>
        </w:rPr>
      </w:pPr>
    </w:p>
    <w:p w14:paraId="3F055E16" w14:textId="7811B3D3" w:rsidR="00FE1282" w:rsidRDefault="00FE1282" w:rsidP="003940AE">
      <w:pPr>
        <w:rPr>
          <w:color w:val="auto"/>
          <w:lang w:val="en-US"/>
        </w:rPr>
      </w:pPr>
    </w:p>
    <w:p w14:paraId="5A2C937F" w14:textId="0EE37E2B" w:rsidR="00FE1282" w:rsidRDefault="00FE1282" w:rsidP="003940AE">
      <w:pPr>
        <w:rPr>
          <w:color w:val="auto"/>
          <w:lang w:val="en-US"/>
        </w:rPr>
      </w:pPr>
    </w:p>
    <w:p w14:paraId="486BEF38" w14:textId="672EFFFE" w:rsidR="00FE1282" w:rsidRDefault="00FE1282" w:rsidP="003940AE">
      <w:pPr>
        <w:rPr>
          <w:color w:val="auto"/>
          <w:lang w:val="en-US"/>
        </w:rPr>
      </w:pPr>
    </w:p>
    <w:p w14:paraId="111F9462" w14:textId="77777777" w:rsidR="00FE1282" w:rsidRPr="003940AE" w:rsidRDefault="00FE1282" w:rsidP="003940AE">
      <w:pPr>
        <w:rPr>
          <w:color w:val="auto"/>
          <w:lang w:val="en-US"/>
        </w:rPr>
      </w:pPr>
    </w:p>
    <w:p w14:paraId="631DA517" w14:textId="77777777" w:rsidR="003E043C" w:rsidRPr="00AB124C" w:rsidRDefault="003E043C" w:rsidP="00AB124C">
      <w:pPr>
        <w:pStyle w:val="Heading1"/>
        <w:numPr>
          <w:ilvl w:val="0"/>
          <w:numId w:val="1"/>
        </w:numPr>
        <w:ind w:left="426" w:hanging="426"/>
        <w:jc w:val="both"/>
        <w:rPr>
          <w:rFonts w:cs="Arial"/>
          <w:lang w:val="en-US"/>
        </w:rPr>
      </w:pPr>
      <w:bookmarkStart w:id="6" w:name="_Toc125559717"/>
      <w:bookmarkStart w:id="7" w:name="_Toc160714160"/>
      <w:r w:rsidRPr="00AB124C">
        <w:rPr>
          <w:rFonts w:cs="Arial"/>
          <w:lang w:val="en-US"/>
        </w:rPr>
        <w:lastRenderedPageBreak/>
        <w:t>Clarifications</w:t>
      </w:r>
      <w:bookmarkEnd w:id="6"/>
      <w:bookmarkEnd w:id="7"/>
    </w:p>
    <w:p w14:paraId="03535D0B" w14:textId="77777777" w:rsidR="003E043C" w:rsidRPr="00AB124C" w:rsidRDefault="003E043C" w:rsidP="00AB124C">
      <w:pPr>
        <w:jc w:val="both"/>
        <w:rPr>
          <w:lang w:val="en-US"/>
        </w:rPr>
      </w:pPr>
    </w:p>
    <w:p w14:paraId="302521E0" w14:textId="77777777" w:rsidR="003E043C" w:rsidRPr="003F77B1" w:rsidRDefault="003E043C" w:rsidP="00AB124C">
      <w:pPr>
        <w:jc w:val="both"/>
        <w:rPr>
          <w:color w:val="auto"/>
          <w:lang w:val="en-US"/>
        </w:rPr>
      </w:pPr>
      <w:r w:rsidRPr="003F77B1">
        <w:rPr>
          <w:color w:val="auto"/>
          <w:lang w:val="en-US"/>
        </w:rPr>
        <w:t>All requests for clarification should be submitted no later than the date specified in the Procurement timetable, using the messaging facility on the Proactis procurement portal.</w:t>
      </w:r>
    </w:p>
    <w:p w14:paraId="1B914EAB" w14:textId="77777777" w:rsidR="003E043C" w:rsidRPr="003F77B1" w:rsidRDefault="003E043C" w:rsidP="00AB124C">
      <w:pPr>
        <w:jc w:val="both"/>
        <w:rPr>
          <w:color w:val="auto"/>
          <w:lang w:val="en-US"/>
        </w:rPr>
      </w:pPr>
    </w:p>
    <w:p w14:paraId="3083BAC2" w14:textId="77777777" w:rsidR="003E043C" w:rsidRPr="003F77B1" w:rsidRDefault="003E043C" w:rsidP="00AB124C">
      <w:pPr>
        <w:jc w:val="both"/>
        <w:rPr>
          <w:color w:val="auto"/>
          <w:lang w:val="en-US"/>
        </w:rPr>
      </w:pPr>
      <w:r w:rsidRPr="003F77B1">
        <w:rPr>
          <w:color w:val="auto"/>
          <w:lang w:val="en-US"/>
        </w:rPr>
        <w:t xml:space="preserve">Questions received after the deadline date may not be answered. If the potential provider expresses that the question is confidential and </w:t>
      </w:r>
      <w:r w:rsidRPr="003369E6">
        <w:rPr>
          <w:color w:val="auto"/>
          <w:lang w:val="en-US"/>
        </w:rPr>
        <w:t>GBC</w:t>
      </w:r>
      <w:r w:rsidRPr="003F77B1">
        <w:rPr>
          <w:color w:val="auto"/>
          <w:lang w:val="en-US"/>
        </w:rPr>
        <w:t xml:space="preserve"> agrees that it is, then the response will be sent only to the potential provider raising the question. If GBC disagrees, they will inform the potential provider and allow them to withdraw their question.</w:t>
      </w:r>
    </w:p>
    <w:p w14:paraId="48A066A3" w14:textId="77777777" w:rsidR="00D85C57" w:rsidRPr="003F77B1" w:rsidRDefault="00D85C57" w:rsidP="00AB124C">
      <w:pPr>
        <w:jc w:val="both"/>
        <w:rPr>
          <w:color w:val="auto"/>
          <w:lang w:val="en-US"/>
        </w:rPr>
      </w:pPr>
    </w:p>
    <w:p w14:paraId="4C8E63F7" w14:textId="77777777" w:rsidR="00D85C57" w:rsidRPr="003F77B1" w:rsidRDefault="00D85C57" w:rsidP="00AB124C">
      <w:pPr>
        <w:jc w:val="both"/>
        <w:rPr>
          <w:color w:val="auto"/>
          <w:lang w:val="en-US"/>
        </w:rPr>
      </w:pPr>
      <w:r w:rsidRPr="003F77B1">
        <w:rPr>
          <w:color w:val="auto"/>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0D9DD206" w14:textId="77777777" w:rsidR="00D85C57" w:rsidRPr="00AB124C" w:rsidRDefault="00D85C57" w:rsidP="00AB124C">
      <w:pPr>
        <w:jc w:val="both"/>
        <w:rPr>
          <w:color w:val="1F497D" w:themeColor="text2"/>
          <w:lang w:val="en-US"/>
        </w:rPr>
      </w:pPr>
    </w:p>
    <w:p w14:paraId="5A442D39" w14:textId="77777777" w:rsidR="00C00D19" w:rsidRPr="00AB124C" w:rsidRDefault="00C00D19" w:rsidP="00AB124C">
      <w:pPr>
        <w:pStyle w:val="Heading1"/>
        <w:numPr>
          <w:ilvl w:val="0"/>
          <w:numId w:val="1"/>
        </w:numPr>
        <w:ind w:left="426" w:hanging="426"/>
        <w:jc w:val="both"/>
        <w:rPr>
          <w:rFonts w:cs="Arial"/>
          <w:szCs w:val="24"/>
          <w:lang w:val="en-US"/>
        </w:rPr>
      </w:pPr>
      <w:bookmarkStart w:id="8" w:name="_Toc160714161"/>
      <w:r w:rsidRPr="00AB124C">
        <w:rPr>
          <w:rFonts w:cs="Arial"/>
          <w:szCs w:val="24"/>
          <w:lang w:val="en-US"/>
        </w:rPr>
        <w:t>Evaluation</w:t>
      </w:r>
      <w:bookmarkEnd w:id="8"/>
    </w:p>
    <w:p w14:paraId="0487CBA3" w14:textId="77777777" w:rsidR="00A76F29" w:rsidRPr="00AB124C" w:rsidRDefault="00A76F29" w:rsidP="00AB124C">
      <w:pPr>
        <w:jc w:val="both"/>
        <w:rPr>
          <w:color w:val="FF0000"/>
          <w:lang w:val="en-US"/>
        </w:rPr>
      </w:pPr>
    </w:p>
    <w:p w14:paraId="0F46FB99" w14:textId="1AC3BDCC" w:rsidR="00161461" w:rsidRDefault="00161461" w:rsidP="00161461">
      <w:pPr>
        <w:jc w:val="both"/>
        <w:rPr>
          <w:color w:val="auto"/>
          <w:lang w:val="en-US"/>
        </w:rPr>
      </w:pPr>
      <w:r>
        <w:rPr>
          <w:color w:val="auto"/>
          <w:lang w:val="en-US"/>
        </w:rPr>
        <w:t>Responses</w:t>
      </w:r>
      <w:r w:rsidRPr="00415896">
        <w:rPr>
          <w:color w:val="auto"/>
          <w:lang w:val="en-US"/>
        </w:rPr>
        <w:t xml:space="preserve"> received on time will be evaluated on the following criteria</w:t>
      </w:r>
      <w:r>
        <w:rPr>
          <w:color w:val="auto"/>
          <w:lang w:val="en-US"/>
        </w:rPr>
        <w:t>:</w:t>
      </w:r>
    </w:p>
    <w:p w14:paraId="6255012A" w14:textId="37EF0064" w:rsidR="00161461" w:rsidRDefault="00161461" w:rsidP="00161461">
      <w:pPr>
        <w:jc w:val="both"/>
        <w:rPr>
          <w:color w:val="auto"/>
          <w:lang w:val="en-US"/>
        </w:rPr>
      </w:pPr>
    </w:p>
    <w:p w14:paraId="40E6BC5F" w14:textId="621F3065" w:rsidR="00161461" w:rsidRDefault="00161461" w:rsidP="00161461">
      <w:pPr>
        <w:pStyle w:val="ListParagraph"/>
        <w:numPr>
          <w:ilvl w:val="0"/>
          <w:numId w:val="19"/>
        </w:numPr>
        <w:jc w:val="both"/>
        <w:rPr>
          <w:color w:val="auto"/>
          <w:lang w:val="en-US"/>
        </w:rPr>
      </w:pPr>
      <w:r>
        <w:rPr>
          <w:color w:val="auto"/>
          <w:lang w:val="en-US"/>
        </w:rPr>
        <w:t xml:space="preserve">Mandatory requirements: </w:t>
      </w:r>
      <w:r w:rsidRPr="00161461">
        <w:rPr>
          <w:color w:val="auto"/>
          <w:lang w:val="en-US"/>
        </w:rPr>
        <w:t>Pass/Fail</w:t>
      </w:r>
    </w:p>
    <w:p w14:paraId="22A3EF13" w14:textId="348C4045" w:rsidR="00AF0278" w:rsidRPr="00AF0278" w:rsidRDefault="00161461" w:rsidP="00AF0278">
      <w:pPr>
        <w:pStyle w:val="ListParagraph"/>
        <w:numPr>
          <w:ilvl w:val="0"/>
          <w:numId w:val="19"/>
        </w:numPr>
        <w:jc w:val="both"/>
        <w:rPr>
          <w:color w:val="auto"/>
          <w:lang w:val="en-US"/>
        </w:rPr>
      </w:pPr>
      <w:r>
        <w:rPr>
          <w:color w:val="auto"/>
          <w:lang w:val="en-US"/>
        </w:rPr>
        <w:t>Quality: 40</w:t>
      </w:r>
      <w:r w:rsidRPr="00161461">
        <w:rPr>
          <w:color w:val="auto"/>
          <w:lang w:val="en-US"/>
        </w:rPr>
        <w:t>%</w:t>
      </w:r>
    </w:p>
    <w:p w14:paraId="2E9CEED4" w14:textId="56DB3F69" w:rsidR="00161461" w:rsidRDefault="00AF0278" w:rsidP="00161461">
      <w:pPr>
        <w:pStyle w:val="ListParagraph"/>
        <w:numPr>
          <w:ilvl w:val="1"/>
          <w:numId w:val="18"/>
        </w:numPr>
        <w:jc w:val="both"/>
        <w:rPr>
          <w:color w:val="auto"/>
          <w:lang w:val="en-US"/>
        </w:rPr>
      </w:pPr>
      <w:r>
        <w:rPr>
          <w:color w:val="auto"/>
          <w:lang w:val="en-US"/>
        </w:rPr>
        <w:t>Lone worker device demonstration: 10</w:t>
      </w:r>
      <w:r w:rsidR="00161461" w:rsidRPr="00C55839">
        <w:rPr>
          <w:color w:val="auto"/>
          <w:lang w:val="en-US"/>
        </w:rPr>
        <w:t>%</w:t>
      </w:r>
    </w:p>
    <w:p w14:paraId="6D2F43D9" w14:textId="75D01E76" w:rsidR="00AF0278" w:rsidRPr="00AF0278" w:rsidRDefault="00AF0278" w:rsidP="00AF0278">
      <w:pPr>
        <w:pStyle w:val="ListParagraph"/>
        <w:numPr>
          <w:ilvl w:val="1"/>
          <w:numId w:val="18"/>
        </w:numPr>
        <w:jc w:val="both"/>
        <w:rPr>
          <w:color w:val="auto"/>
          <w:lang w:val="en-US"/>
        </w:rPr>
      </w:pPr>
      <w:r>
        <w:rPr>
          <w:color w:val="auto"/>
          <w:lang w:val="en-US"/>
        </w:rPr>
        <w:t>Process for lone worker device monitoring, GDPR and security: 15</w:t>
      </w:r>
      <w:r w:rsidRPr="00C55839">
        <w:rPr>
          <w:color w:val="auto"/>
          <w:lang w:val="en-US"/>
        </w:rPr>
        <w:t>%</w:t>
      </w:r>
    </w:p>
    <w:p w14:paraId="5ECC9831" w14:textId="54D44676" w:rsidR="00161461" w:rsidRPr="00161461" w:rsidRDefault="002378EA" w:rsidP="00161461">
      <w:pPr>
        <w:pStyle w:val="ListParagraph"/>
        <w:numPr>
          <w:ilvl w:val="1"/>
          <w:numId w:val="18"/>
        </w:numPr>
        <w:jc w:val="both"/>
        <w:rPr>
          <w:color w:val="auto"/>
          <w:lang w:val="en-US"/>
        </w:rPr>
      </w:pPr>
      <w:r>
        <w:t>Benefits to Public Sector using your products and services (case study)</w:t>
      </w:r>
      <w:r w:rsidR="00AF0278">
        <w:rPr>
          <w:color w:val="auto"/>
          <w:lang w:val="en-US"/>
        </w:rPr>
        <w:t>: 15</w:t>
      </w:r>
      <w:r w:rsidR="00161461" w:rsidRPr="00415896">
        <w:rPr>
          <w:color w:val="auto"/>
          <w:lang w:val="en-US"/>
        </w:rPr>
        <w:t>%</w:t>
      </w:r>
    </w:p>
    <w:p w14:paraId="7F3B76A0" w14:textId="107B9829" w:rsidR="00161461" w:rsidRPr="00161461" w:rsidRDefault="00161461" w:rsidP="00161461">
      <w:pPr>
        <w:pStyle w:val="ListParagraph"/>
        <w:numPr>
          <w:ilvl w:val="0"/>
          <w:numId w:val="19"/>
        </w:numPr>
        <w:jc w:val="both"/>
        <w:rPr>
          <w:color w:val="auto"/>
          <w:lang w:val="en-US"/>
        </w:rPr>
      </w:pPr>
      <w:r w:rsidRPr="00161461">
        <w:rPr>
          <w:color w:val="auto"/>
          <w:lang w:val="en-US"/>
        </w:rPr>
        <w:t>Price</w:t>
      </w:r>
      <w:r>
        <w:rPr>
          <w:color w:val="auto"/>
          <w:lang w:val="en-US"/>
        </w:rPr>
        <w:t xml:space="preserve"> – 60</w:t>
      </w:r>
      <w:r w:rsidRPr="00161461">
        <w:rPr>
          <w:color w:val="auto"/>
          <w:lang w:val="en-US"/>
        </w:rPr>
        <w:t>%</w:t>
      </w:r>
    </w:p>
    <w:p w14:paraId="2742D901" w14:textId="77777777" w:rsidR="00161461" w:rsidRDefault="00161461" w:rsidP="00161461">
      <w:pPr>
        <w:jc w:val="both"/>
        <w:rPr>
          <w:color w:val="auto"/>
          <w:lang w:val="en-US"/>
        </w:rPr>
      </w:pPr>
    </w:p>
    <w:p w14:paraId="4C3B42F9" w14:textId="77777777" w:rsidR="00FE1282" w:rsidRDefault="00FE1282" w:rsidP="00161461">
      <w:pPr>
        <w:jc w:val="both"/>
        <w:rPr>
          <w:color w:val="auto"/>
          <w:lang w:val="en-US"/>
        </w:rPr>
      </w:pPr>
    </w:p>
    <w:p w14:paraId="08DF0146" w14:textId="77777777" w:rsidR="00FE1282" w:rsidRDefault="00FE1282" w:rsidP="00161461">
      <w:pPr>
        <w:jc w:val="both"/>
        <w:rPr>
          <w:color w:val="auto"/>
          <w:lang w:val="en-US"/>
        </w:rPr>
      </w:pPr>
    </w:p>
    <w:p w14:paraId="1A9E07F8" w14:textId="77777777" w:rsidR="00FE1282" w:rsidRDefault="00FE1282" w:rsidP="00161461">
      <w:pPr>
        <w:jc w:val="both"/>
        <w:rPr>
          <w:color w:val="auto"/>
          <w:lang w:val="en-US"/>
        </w:rPr>
      </w:pPr>
    </w:p>
    <w:p w14:paraId="4A8BBF06" w14:textId="12427563" w:rsidR="00161461" w:rsidRDefault="00161461" w:rsidP="00161461">
      <w:pPr>
        <w:jc w:val="both"/>
        <w:rPr>
          <w:color w:val="auto"/>
          <w:lang w:val="en-US"/>
        </w:rPr>
      </w:pPr>
      <w:r>
        <w:rPr>
          <w:color w:val="auto"/>
          <w:lang w:val="en-US"/>
        </w:rPr>
        <w:lastRenderedPageBreak/>
        <w:t>Quality Evaluation:</w:t>
      </w:r>
    </w:p>
    <w:p w14:paraId="6E2C23D7" w14:textId="77777777" w:rsidR="00161461" w:rsidRDefault="00161461" w:rsidP="00161461">
      <w:pPr>
        <w:jc w:val="both"/>
        <w:rPr>
          <w:color w:val="auto"/>
          <w:lang w:val="en-US"/>
        </w:rPr>
      </w:pPr>
      <w:r>
        <w:rPr>
          <w:color w:val="auto"/>
          <w:lang w:val="en-US"/>
        </w:rPr>
        <w:t>Answers will be scored on the following criteria</w:t>
      </w:r>
    </w:p>
    <w:tbl>
      <w:tblPr>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tblGrid>
      <w:tr w:rsidR="00161461" w14:paraId="631849AC" w14:textId="77777777" w:rsidTr="00161461">
        <w:trPr>
          <w:trHeight w:val="904"/>
        </w:trPr>
        <w:tc>
          <w:tcPr>
            <w:tcW w:w="5000" w:type="pct"/>
            <w:tcBorders>
              <w:top w:val="single" w:sz="4" w:space="0" w:color="auto"/>
              <w:left w:val="single" w:sz="4" w:space="0" w:color="auto"/>
              <w:bottom w:val="single" w:sz="4" w:space="0" w:color="auto"/>
              <w:right w:val="single" w:sz="4" w:space="0" w:color="auto"/>
            </w:tcBorders>
            <w:vAlign w:val="center"/>
            <w:hideMark/>
          </w:tcPr>
          <w:p w14:paraId="2E67E711" w14:textId="77777777" w:rsidR="00161461" w:rsidRDefault="00161461" w:rsidP="00161461">
            <w:pPr>
              <w:pStyle w:val="NoSpacing"/>
              <w:spacing w:line="276" w:lineRule="auto"/>
              <w:rPr>
                <w:color w:val="000000"/>
                <w:lang w:eastAsia="en-GB"/>
              </w:rPr>
            </w:pPr>
            <w:r>
              <w:rPr>
                <w:rFonts w:cs="Calibri"/>
                <w:b/>
              </w:rPr>
              <w:t xml:space="preserve">4 - </w:t>
            </w:r>
            <w:r w:rsidRPr="006941F7">
              <w:rPr>
                <w:rFonts w:cs="Calibri"/>
                <w:b/>
              </w:rPr>
              <w:t>Very good</w:t>
            </w:r>
            <w:r>
              <w:rPr>
                <w:rFonts w:cs="Calibri"/>
              </w:rPr>
              <w:t xml:space="preserve"> –</w:t>
            </w:r>
            <w:r w:rsidRPr="006941F7">
              <w:rPr>
                <w:rFonts w:cs="Calibri"/>
              </w:rPr>
              <w:t xml:space="preserve">in excess of the criteria in </w:t>
            </w:r>
            <w:r w:rsidRPr="006941F7">
              <w:rPr>
                <w:rFonts w:cs="Calibri"/>
                <w:u w:val="single"/>
              </w:rPr>
              <w:t>all</w:t>
            </w:r>
            <w:r>
              <w:rPr>
                <w:rFonts w:cs="Calibri"/>
              </w:rPr>
              <w:t xml:space="preserve"> areas</w:t>
            </w:r>
          </w:p>
        </w:tc>
      </w:tr>
      <w:tr w:rsidR="00161461" w14:paraId="66C393BA" w14:textId="77777777" w:rsidTr="00161461">
        <w:trPr>
          <w:trHeight w:val="892"/>
        </w:trPr>
        <w:tc>
          <w:tcPr>
            <w:tcW w:w="5000" w:type="pct"/>
            <w:tcBorders>
              <w:top w:val="single" w:sz="4" w:space="0" w:color="auto"/>
              <w:left w:val="single" w:sz="4" w:space="0" w:color="auto"/>
              <w:bottom w:val="single" w:sz="4" w:space="0" w:color="auto"/>
              <w:right w:val="single" w:sz="4" w:space="0" w:color="auto"/>
            </w:tcBorders>
            <w:vAlign w:val="center"/>
            <w:hideMark/>
          </w:tcPr>
          <w:p w14:paraId="35CF24CD" w14:textId="77777777" w:rsidR="00161461" w:rsidRDefault="00161461" w:rsidP="00161461">
            <w:pPr>
              <w:pStyle w:val="NoSpacing"/>
              <w:spacing w:line="276" w:lineRule="auto"/>
              <w:rPr>
                <w:color w:val="000000"/>
                <w:lang w:eastAsia="en-GB"/>
              </w:rPr>
            </w:pPr>
            <w:r>
              <w:rPr>
                <w:rFonts w:cs="Calibri"/>
                <w:b/>
              </w:rPr>
              <w:t xml:space="preserve">3 - </w:t>
            </w:r>
            <w:r w:rsidRPr="006941F7">
              <w:rPr>
                <w:rFonts w:cs="Calibri"/>
                <w:b/>
              </w:rPr>
              <w:t>Good</w:t>
            </w:r>
            <w:r>
              <w:rPr>
                <w:rFonts w:cs="Calibri"/>
              </w:rPr>
              <w:t xml:space="preserve"> – </w:t>
            </w:r>
            <w:r w:rsidRPr="006941F7">
              <w:rPr>
                <w:rFonts w:cs="Calibri"/>
              </w:rPr>
              <w:t>shows attributes in a number of areas tha</w:t>
            </w:r>
            <w:r>
              <w:rPr>
                <w:rFonts w:cs="Calibri"/>
              </w:rPr>
              <w:t>t are in excess of the criteria</w:t>
            </w:r>
          </w:p>
        </w:tc>
      </w:tr>
      <w:tr w:rsidR="00161461" w14:paraId="48B49CCD" w14:textId="77777777" w:rsidTr="00161461">
        <w:trPr>
          <w:trHeight w:val="801"/>
        </w:trPr>
        <w:tc>
          <w:tcPr>
            <w:tcW w:w="5000" w:type="pct"/>
            <w:tcBorders>
              <w:top w:val="single" w:sz="4" w:space="0" w:color="auto"/>
              <w:left w:val="single" w:sz="4" w:space="0" w:color="auto"/>
              <w:bottom w:val="single" w:sz="4" w:space="0" w:color="auto"/>
              <w:right w:val="single" w:sz="4" w:space="0" w:color="auto"/>
            </w:tcBorders>
            <w:vAlign w:val="center"/>
            <w:hideMark/>
          </w:tcPr>
          <w:p w14:paraId="78073CCE" w14:textId="77777777" w:rsidR="00161461" w:rsidRDefault="00161461" w:rsidP="00161461">
            <w:pPr>
              <w:pStyle w:val="NoSpacing"/>
              <w:spacing w:line="276" w:lineRule="auto"/>
              <w:rPr>
                <w:color w:val="000000"/>
                <w:lang w:eastAsia="en-GB"/>
              </w:rPr>
            </w:pPr>
            <w:r>
              <w:rPr>
                <w:rFonts w:cs="Calibri"/>
                <w:b/>
              </w:rPr>
              <w:t xml:space="preserve">2 - </w:t>
            </w:r>
            <w:r w:rsidRPr="006941F7">
              <w:rPr>
                <w:rFonts w:cs="Calibri"/>
                <w:b/>
              </w:rPr>
              <w:t>Satisfactory</w:t>
            </w:r>
            <w:r>
              <w:rPr>
                <w:rFonts w:cs="Calibri"/>
              </w:rPr>
              <w:t xml:space="preserve"> – </w:t>
            </w:r>
            <w:r w:rsidRPr="006941F7">
              <w:rPr>
                <w:rFonts w:cs="Calibri"/>
              </w:rPr>
              <w:t>provides evidence that it will meet the criteria sufficientl</w:t>
            </w:r>
            <w:r>
              <w:rPr>
                <w:rFonts w:cs="Calibri"/>
              </w:rPr>
              <w:t>y</w:t>
            </w:r>
          </w:p>
        </w:tc>
      </w:tr>
      <w:tr w:rsidR="00161461" w14:paraId="442B825F" w14:textId="77777777" w:rsidTr="00161461">
        <w:trPr>
          <w:trHeight w:val="684"/>
        </w:trPr>
        <w:tc>
          <w:tcPr>
            <w:tcW w:w="5000" w:type="pct"/>
            <w:tcBorders>
              <w:top w:val="single" w:sz="4" w:space="0" w:color="auto"/>
              <w:left w:val="single" w:sz="4" w:space="0" w:color="auto"/>
              <w:bottom w:val="single" w:sz="4" w:space="0" w:color="auto"/>
              <w:right w:val="single" w:sz="4" w:space="0" w:color="auto"/>
            </w:tcBorders>
            <w:vAlign w:val="center"/>
            <w:hideMark/>
          </w:tcPr>
          <w:p w14:paraId="53F048F3" w14:textId="77777777" w:rsidR="00161461" w:rsidRDefault="00161461" w:rsidP="00161461">
            <w:pPr>
              <w:pStyle w:val="NoSpacing"/>
              <w:spacing w:line="276" w:lineRule="auto"/>
              <w:rPr>
                <w:color w:val="000000"/>
                <w:lang w:eastAsia="en-GB"/>
              </w:rPr>
            </w:pPr>
            <w:r>
              <w:rPr>
                <w:rFonts w:cs="Calibri"/>
                <w:b/>
              </w:rPr>
              <w:t xml:space="preserve">1 - </w:t>
            </w:r>
            <w:r w:rsidRPr="006941F7">
              <w:rPr>
                <w:rFonts w:cs="Calibri"/>
                <w:b/>
              </w:rPr>
              <w:t>Poor</w:t>
            </w:r>
            <w:r>
              <w:rPr>
                <w:rFonts w:cs="Calibri"/>
              </w:rPr>
              <w:t xml:space="preserve"> – </w:t>
            </w:r>
            <w:r w:rsidRPr="006941F7">
              <w:rPr>
                <w:rFonts w:cs="Calibri"/>
              </w:rPr>
              <w:t>some, but very limited evidence of</w:t>
            </w:r>
            <w:r>
              <w:rPr>
                <w:rFonts w:cs="Calibri"/>
              </w:rPr>
              <w:t xml:space="preserve"> that it will meet the criteria</w:t>
            </w:r>
          </w:p>
        </w:tc>
      </w:tr>
      <w:tr w:rsidR="00161461" w14:paraId="1AD16FF5" w14:textId="77777777" w:rsidTr="00161461">
        <w:trPr>
          <w:trHeight w:val="777"/>
        </w:trPr>
        <w:tc>
          <w:tcPr>
            <w:tcW w:w="5000" w:type="pct"/>
            <w:tcBorders>
              <w:top w:val="single" w:sz="4" w:space="0" w:color="auto"/>
              <w:left w:val="single" w:sz="4" w:space="0" w:color="auto"/>
              <w:bottom w:val="single" w:sz="4" w:space="0" w:color="auto"/>
              <w:right w:val="single" w:sz="4" w:space="0" w:color="auto"/>
            </w:tcBorders>
            <w:vAlign w:val="center"/>
            <w:hideMark/>
          </w:tcPr>
          <w:p w14:paraId="54354629" w14:textId="77777777" w:rsidR="00161461" w:rsidRDefault="00161461" w:rsidP="00161461">
            <w:pPr>
              <w:pStyle w:val="NoSpacing"/>
              <w:spacing w:line="276" w:lineRule="auto"/>
              <w:rPr>
                <w:color w:val="000000"/>
                <w:lang w:eastAsia="en-GB"/>
              </w:rPr>
            </w:pPr>
            <w:r>
              <w:rPr>
                <w:rFonts w:cs="Calibri"/>
                <w:b/>
              </w:rPr>
              <w:t xml:space="preserve">0- </w:t>
            </w:r>
            <w:r w:rsidRPr="006941F7">
              <w:rPr>
                <w:rFonts w:cs="Calibri"/>
                <w:b/>
              </w:rPr>
              <w:t>Very Poor</w:t>
            </w:r>
            <w:r>
              <w:rPr>
                <w:rFonts w:cs="Calibri"/>
              </w:rPr>
              <w:t xml:space="preserve"> – </w:t>
            </w:r>
            <w:r w:rsidRPr="006941F7">
              <w:rPr>
                <w:rFonts w:cs="Calibri"/>
              </w:rPr>
              <w:t>completely fails to demonstrate</w:t>
            </w:r>
            <w:r>
              <w:rPr>
                <w:rFonts w:cs="Calibri"/>
              </w:rPr>
              <w:t xml:space="preserve"> that it will meet the criteria</w:t>
            </w:r>
          </w:p>
        </w:tc>
      </w:tr>
    </w:tbl>
    <w:p w14:paraId="25B9CF66" w14:textId="209E65A1" w:rsidR="003627F6" w:rsidRPr="003627F6" w:rsidRDefault="003627F6" w:rsidP="003627F6">
      <w:pPr>
        <w:pStyle w:val="Header"/>
        <w:tabs>
          <w:tab w:val="left" w:pos="851"/>
          <w:tab w:val="left" w:pos="2694"/>
          <w:tab w:val="left" w:pos="5387"/>
          <w:tab w:val="left" w:pos="9072"/>
          <w:tab w:val="left" w:pos="10773"/>
          <w:tab w:val="left" w:pos="11340"/>
          <w:tab w:val="left" w:pos="11766"/>
        </w:tabs>
        <w:spacing w:after="120"/>
        <w:jc w:val="both"/>
        <w:rPr>
          <w:i/>
          <w:sz w:val="22"/>
        </w:rPr>
      </w:pPr>
      <w:r w:rsidRPr="003627F6">
        <w:rPr>
          <w:i/>
          <w:sz w:val="22"/>
        </w:rPr>
        <w:t xml:space="preserve">Please note that scoring ‘1’ or less for any one or more quality questions will give grounds for excluding the response from further consideration.  For any quotes so excluded, that </w:t>
      </w:r>
      <w:r w:rsidR="00FE1282" w:rsidRPr="003627F6">
        <w:rPr>
          <w:i/>
          <w:sz w:val="22"/>
        </w:rPr>
        <w:t>supplier’s</w:t>
      </w:r>
      <w:r w:rsidRPr="003627F6">
        <w:rPr>
          <w:i/>
          <w:sz w:val="22"/>
        </w:rPr>
        <w:t xml:space="preserve"> price shall be excluded from the ‘price’ evaluation.</w:t>
      </w:r>
    </w:p>
    <w:p w14:paraId="6FC0D468" w14:textId="7E46DB7C" w:rsidR="00161461" w:rsidRDefault="00161461" w:rsidP="00161461">
      <w:pPr>
        <w:pStyle w:val="Header"/>
        <w:tabs>
          <w:tab w:val="left" w:pos="851"/>
          <w:tab w:val="left" w:pos="2694"/>
          <w:tab w:val="left" w:pos="5387"/>
          <w:tab w:val="left" w:pos="9072"/>
          <w:tab w:val="left" w:pos="10773"/>
          <w:tab w:val="left" w:pos="11340"/>
          <w:tab w:val="left" w:pos="11766"/>
        </w:tabs>
        <w:spacing w:after="120"/>
        <w:jc w:val="both"/>
      </w:pPr>
    </w:p>
    <w:p w14:paraId="53A181C8" w14:textId="77777777" w:rsidR="00161461" w:rsidRPr="001D675A" w:rsidRDefault="00161461" w:rsidP="00161461">
      <w:pPr>
        <w:pStyle w:val="Header"/>
        <w:tabs>
          <w:tab w:val="left" w:pos="851"/>
          <w:tab w:val="left" w:pos="2694"/>
          <w:tab w:val="left" w:pos="5387"/>
          <w:tab w:val="left" w:pos="9072"/>
          <w:tab w:val="left" w:pos="10773"/>
          <w:tab w:val="left" w:pos="11340"/>
          <w:tab w:val="left" w:pos="11766"/>
        </w:tabs>
        <w:spacing w:after="120"/>
        <w:jc w:val="both"/>
      </w:pPr>
      <w:r>
        <w:t>P</w:t>
      </w:r>
      <w:r w:rsidRPr="001D675A">
        <w:t>rice scores will be calculated based upon the lowest price.</w:t>
      </w:r>
    </w:p>
    <w:p w14:paraId="75FCB3FD" w14:textId="68FF32C4" w:rsidR="00161461" w:rsidRPr="001D675A" w:rsidRDefault="00161461" w:rsidP="00161461">
      <w:pPr>
        <w:pStyle w:val="Header"/>
        <w:tabs>
          <w:tab w:val="left" w:pos="851"/>
          <w:tab w:val="left" w:pos="2694"/>
          <w:tab w:val="left" w:pos="5387"/>
          <w:tab w:val="left" w:pos="9072"/>
          <w:tab w:val="left" w:pos="10773"/>
          <w:tab w:val="left" w:pos="11340"/>
          <w:tab w:val="left" w:pos="11766"/>
        </w:tabs>
        <w:spacing w:after="120"/>
        <w:jc w:val="both"/>
      </w:pPr>
      <w:r w:rsidRPr="001D675A">
        <w:t xml:space="preserve">The </w:t>
      </w:r>
      <w:r>
        <w:t>response</w:t>
      </w:r>
      <w:r w:rsidRPr="001D675A">
        <w:t xml:space="preserve"> with the lowest price will be awarded the full score of </w:t>
      </w:r>
      <w:r>
        <w:t>60</w:t>
      </w:r>
      <w:r w:rsidRPr="001D675A">
        <w:t>. Higher-priced offers will receive a score proportionate to the lowest offer, calculated as follows:</w:t>
      </w:r>
    </w:p>
    <w:p w14:paraId="7A91E50C" w14:textId="77777777" w:rsidR="00161461" w:rsidRPr="001D675A" w:rsidRDefault="00161461" w:rsidP="00161461">
      <w:pPr>
        <w:pStyle w:val="Header"/>
        <w:tabs>
          <w:tab w:val="left" w:pos="851"/>
          <w:tab w:val="left" w:pos="2694"/>
          <w:tab w:val="left" w:pos="5387"/>
          <w:tab w:val="left" w:pos="9072"/>
          <w:tab w:val="left" w:pos="10773"/>
          <w:tab w:val="left" w:pos="11340"/>
          <w:tab w:val="left" w:pos="11766"/>
        </w:tabs>
        <w:spacing w:after="120"/>
        <w:rPr>
          <w:i/>
          <w:color w:val="FF0000"/>
        </w:rPr>
      </w:pPr>
    </w:p>
    <w:p w14:paraId="4A0CEC2E" w14:textId="77777777" w:rsidR="00161461" w:rsidRDefault="00161461" w:rsidP="00161461">
      <w:pPr>
        <w:pStyle w:val="Header"/>
        <w:tabs>
          <w:tab w:val="left" w:pos="851"/>
          <w:tab w:val="left" w:pos="2694"/>
          <w:tab w:val="left" w:pos="5387"/>
          <w:tab w:val="left" w:pos="9072"/>
          <w:tab w:val="left" w:pos="10773"/>
          <w:tab w:val="left" w:pos="11340"/>
          <w:tab w:val="left" w:pos="11766"/>
        </w:tabs>
        <w:spacing w:after="120"/>
        <w:jc w:val="center"/>
        <w:rPr>
          <w:i/>
          <w:color w:val="FF0000"/>
        </w:rPr>
      </w:pPr>
      <w:r w:rsidRPr="001D675A">
        <w:rPr>
          <w:b/>
          <w:noProof/>
          <w:lang w:eastAsia="en-GB"/>
        </w:rPr>
        <w:drawing>
          <wp:inline distT="0" distB="0" distL="0" distR="0" wp14:anchorId="6CCD6D0F" wp14:editId="1FDDDC2D">
            <wp:extent cx="3219450" cy="457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stretch>
                      <a:fillRect/>
                    </a:stretch>
                  </pic:blipFill>
                  <pic:spPr>
                    <a:xfrm>
                      <a:off x="0" y="0"/>
                      <a:ext cx="3238413" cy="459893"/>
                    </a:xfrm>
                    <a:prstGeom prst="rect">
                      <a:avLst/>
                    </a:prstGeom>
                  </pic:spPr>
                </pic:pic>
              </a:graphicData>
            </a:graphic>
          </wp:inline>
        </w:drawing>
      </w:r>
    </w:p>
    <w:p w14:paraId="3E827F3E" w14:textId="47C68926" w:rsidR="003E043C" w:rsidRDefault="003E043C" w:rsidP="00AB124C">
      <w:pPr>
        <w:jc w:val="both"/>
        <w:rPr>
          <w:color w:val="FF0000"/>
          <w:lang w:val="en-US"/>
        </w:rPr>
      </w:pPr>
    </w:p>
    <w:p w14:paraId="26884A5A" w14:textId="1F38148A" w:rsidR="00161461" w:rsidRDefault="00161461" w:rsidP="00AB124C">
      <w:pPr>
        <w:jc w:val="both"/>
        <w:rPr>
          <w:color w:val="FF0000"/>
          <w:lang w:val="en-US"/>
        </w:rPr>
      </w:pPr>
    </w:p>
    <w:p w14:paraId="4578C082" w14:textId="5DEA2C13" w:rsidR="00FE1282" w:rsidRDefault="00FE1282" w:rsidP="00AB124C">
      <w:pPr>
        <w:jc w:val="both"/>
        <w:rPr>
          <w:color w:val="FF0000"/>
          <w:lang w:val="en-US"/>
        </w:rPr>
      </w:pPr>
    </w:p>
    <w:p w14:paraId="7BA9B183" w14:textId="76063FDA" w:rsidR="00FE1282" w:rsidRDefault="00FE1282" w:rsidP="00AB124C">
      <w:pPr>
        <w:jc w:val="both"/>
        <w:rPr>
          <w:color w:val="FF0000"/>
          <w:lang w:val="en-US"/>
        </w:rPr>
      </w:pPr>
    </w:p>
    <w:p w14:paraId="68CC851B" w14:textId="5EA79FC0" w:rsidR="00FE1282" w:rsidRDefault="00FE1282" w:rsidP="00AB124C">
      <w:pPr>
        <w:jc w:val="both"/>
        <w:rPr>
          <w:color w:val="FF0000"/>
          <w:lang w:val="en-US"/>
        </w:rPr>
      </w:pPr>
    </w:p>
    <w:p w14:paraId="5FA860CA" w14:textId="0E025A09" w:rsidR="00FE1282" w:rsidRDefault="00FE1282" w:rsidP="00AB124C">
      <w:pPr>
        <w:jc w:val="both"/>
        <w:rPr>
          <w:color w:val="FF0000"/>
          <w:lang w:val="en-US"/>
        </w:rPr>
      </w:pPr>
    </w:p>
    <w:p w14:paraId="0B44B442" w14:textId="06DAD241" w:rsidR="00FE1282" w:rsidRDefault="00FE1282" w:rsidP="00AB124C">
      <w:pPr>
        <w:jc w:val="both"/>
        <w:rPr>
          <w:color w:val="FF0000"/>
          <w:lang w:val="en-US"/>
        </w:rPr>
      </w:pPr>
    </w:p>
    <w:p w14:paraId="13C0C9B4" w14:textId="0426126E" w:rsidR="00FE1282" w:rsidRDefault="00FE1282" w:rsidP="00AB124C">
      <w:pPr>
        <w:jc w:val="both"/>
        <w:rPr>
          <w:color w:val="FF0000"/>
          <w:lang w:val="en-US"/>
        </w:rPr>
      </w:pPr>
    </w:p>
    <w:p w14:paraId="439DB65D" w14:textId="146CD04D" w:rsidR="00FE1282" w:rsidRDefault="00FE1282" w:rsidP="00AB124C">
      <w:pPr>
        <w:jc w:val="both"/>
        <w:rPr>
          <w:color w:val="FF0000"/>
          <w:lang w:val="en-US"/>
        </w:rPr>
      </w:pPr>
    </w:p>
    <w:p w14:paraId="2D7FD7F1" w14:textId="77777777" w:rsidR="00FE1282" w:rsidRPr="00AB124C" w:rsidRDefault="00FE1282" w:rsidP="00AB124C">
      <w:pPr>
        <w:jc w:val="both"/>
        <w:rPr>
          <w:color w:val="FF0000"/>
          <w:lang w:val="en-US"/>
        </w:rPr>
      </w:pPr>
    </w:p>
    <w:p w14:paraId="2F583575" w14:textId="77777777" w:rsidR="00C00D19" w:rsidRPr="00AB124C" w:rsidRDefault="00C00D19" w:rsidP="00AB124C">
      <w:pPr>
        <w:pStyle w:val="Heading1"/>
        <w:numPr>
          <w:ilvl w:val="0"/>
          <w:numId w:val="1"/>
        </w:numPr>
        <w:ind w:left="426" w:hanging="426"/>
        <w:jc w:val="both"/>
        <w:rPr>
          <w:rFonts w:cs="Arial"/>
          <w:szCs w:val="24"/>
          <w:lang w:val="en-US"/>
        </w:rPr>
      </w:pPr>
      <w:bookmarkStart w:id="9" w:name="_Toc160714162"/>
      <w:r w:rsidRPr="00AB124C">
        <w:rPr>
          <w:rFonts w:cs="Arial"/>
          <w:szCs w:val="24"/>
          <w:lang w:val="en-US"/>
        </w:rPr>
        <w:lastRenderedPageBreak/>
        <w:t>Award</w:t>
      </w:r>
      <w:bookmarkEnd w:id="9"/>
    </w:p>
    <w:p w14:paraId="66078B5D" w14:textId="77777777" w:rsidR="00A76F29" w:rsidRPr="00AB124C" w:rsidRDefault="00A76F29" w:rsidP="00AB124C">
      <w:pPr>
        <w:jc w:val="both"/>
        <w:rPr>
          <w:lang w:val="en-US"/>
        </w:rPr>
      </w:pPr>
    </w:p>
    <w:p w14:paraId="4A7A6206" w14:textId="77777777" w:rsidR="003E043C" w:rsidRPr="003F77B1" w:rsidRDefault="003E043C" w:rsidP="00AB124C">
      <w:pPr>
        <w:jc w:val="both"/>
        <w:rPr>
          <w:color w:val="auto"/>
          <w:lang w:val="en-US"/>
        </w:rPr>
      </w:pPr>
      <w:r w:rsidRPr="003F77B1">
        <w:rPr>
          <w:color w:val="auto"/>
          <w:lang w:val="en-US"/>
        </w:rPr>
        <w:t xml:space="preserve">The award decision will be notified via the Proactis portal after the deadline for responses has passed and the quotes have been evaluated. </w:t>
      </w:r>
    </w:p>
    <w:p w14:paraId="540F67F4" w14:textId="77777777" w:rsidR="003E043C" w:rsidRPr="003F77B1" w:rsidRDefault="003E043C" w:rsidP="00AB124C">
      <w:pPr>
        <w:jc w:val="both"/>
        <w:rPr>
          <w:color w:val="auto"/>
          <w:lang w:val="en-US"/>
        </w:rPr>
      </w:pPr>
    </w:p>
    <w:p w14:paraId="6E13EB6E" w14:textId="77777777" w:rsidR="003E043C" w:rsidRPr="003F77B1" w:rsidRDefault="003E043C" w:rsidP="00AB124C">
      <w:pPr>
        <w:jc w:val="both"/>
        <w:rPr>
          <w:color w:val="auto"/>
          <w:lang w:val="en-US"/>
        </w:rPr>
      </w:pPr>
      <w:r w:rsidRPr="003F77B1">
        <w:rPr>
          <w:color w:val="auto"/>
          <w:lang w:val="en-US"/>
        </w:rPr>
        <w:t>GBC reserve the right to decline to make an award, or to abandon or cancel the procurement process. GBC will not be responsible for any costs or expenses incurred as a result of following this course of action.</w:t>
      </w:r>
    </w:p>
    <w:p w14:paraId="0D3BDB77" w14:textId="77777777" w:rsidR="003E043C" w:rsidRPr="003F77B1" w:rsidRDefault="003E043C" w:rsidP="00AB124C">
      <w:pPr>
        <w:jc w:val="both"/>
        <w:rPr>
          <w:color w:val="auto"/>
          <w:lang w:val="en-US"/>
        </w:rPr>
      </w:pPr>
    </w:p>
    <w:p w14:paraId="4C5F2B7D" w14:textId="77777777" w:rsidR="003E043C" w:rsidRPr="003F77B1" w:rsidRDefault="003E043C" w:rsidP="00AB124C">
      <w:pPr>
        <w:jc w:val="both"/>
        <w:rPr>
          <w:color w:val="auto"/>
          <w:lang w:val="en-US"/>
        </w:rPr>
      </w:pPr>
      <w:r w:rsidRPr="003F77B1">
        <w:rPr>
          <w:color w:val="auto"/>
          <w:lang w:val="en-US"/>
        </w:rPr>
        <w:t xml:space="preserve">Any costs incurred by the </w:t>
      </w:r>
      <w:r w:rsidR="00BE0858">
        <w:rPr>
          <w:color w:val="auto"/>
          <w:lang w:val="en-US"/>
        </w:rPr>
        <w:t>Supplier</w:t>
      </w:r>
      <w:r w:rsidRPr="003F77B1">
        <w:rPr>
          <w:color w:val="auto"/>
          <w:lang w:val="en-US"/>
        </w:rPr>
        <w:t xml:space="preserve"> in responding to this ITQ or in support of activities associated with the response to this ITQ are to be borne by the service provider and are not reimbursable by GBC.</w:t>
      </w:r>
    </w:p>
    <w:p w14:paraId="7A142A48" w14:textId="77777777" w:rsidR="00643F40" w:rsidRPr="00951D30" w:rsidRDefault="00643F40" w:rsidP="00AB124C">
      <w:pPr>
        <w:jc w:val="both"/>
        <w:rPr>
          <w:color w:val="auto"/>
          <w:lang w:val="en-US"/>
        </w:rPr>
      </w:pPr>
    </w:p>
    <w:p w14:paraId="72A6FE1F" w14:textId="77777777" w:rsidR="00643F40" w:rsidRPr="00387E47" w:rsidRDefault="00643F40" w:rsidP="00AB124C">
      <w:pPr>
        <w:jc w:val="both"/>
        <w:rPr>
          <w:color w:val="auto"/>
          <w:lang w:val="en-US"/>
        </w:rPr>
      </w:pPr>
      <w:r w:rsidRPr="00951D30">
        <w:rPr>
          <w:color w:val="auto"/>
          <w:lang w:val="en-US"/>
        </w:rPr>
        <w:t xml:space="preserve">Following award, </w:t>
      </w:r>
      <w:r w:rsidR="00C6735D" w:rsidRPr="00951D30">
        <w:rPr>
          <w:color w:val="auto"/>
          <w:lang w:val="en-US"/>
        </w:rPr>
        <w:t xml:space="preserve">the Council shall order </w:t>
      </w:r>
      <w:r w:rsidR="00951D30" w:rsidRPr="00951D30">
        <w:rPr>
          <w:color w:val="auto"/>
          <w:lang w:val="en-US"/>
        </w:rPr>
        <w:t xml:space="preserve">goods and </w:t>
      </w:r>
      <w:r w:rsidR="00C6735D" w:rsidRPr="00951D30">
        <w:rPr>
          <w:color w:val="auto"/>
          <w:lang w:val="en-US"/>
        </w:rPr>
        <w:t xml:space="preserve">services </w:t>
      </w:r>
      <w:r w:rsidR="00C6735D" w:rsidRPr="00387E47">
        <w:rPr>
          <w:color w:val="auto"/>
          <w:lang w:val="en-US"/>
        </w:rPr>
        <w:t>via purchase order which is sent electronically via email. This document will include a unique reference number, which must be stated on associated documentation, such as delivery notes and invoices.</w:t>
      </w:r>
    </w:p>
    <w:p w14:paraId="0B6FCFBE" w14:textId="77777777" w:rsidR="00C6735D" w:rsidRPr="00387E47" w:rsidRDefault="00C6735D" w:rsidP="00AB124C">
      <w:pPr>
        <w:jc w:val="both"/>
        <w:rPr>
          <w:color w:val="auto"/>
          <w:lang w:val="en-US"/>
        </w:rPr>
      </w:pPr>
    </w:p>
    <w:p w14:paraId="5B8175D4" w14:textId="77777777" w:rsidR="00C6735D" w:rsidRPr="00387E47" w:rsidRDefault="00C6735D" w:rsidP="00C6735D">
      <w:pPr>
        <w:jc w:val="both"/>
        <w:rPr>
          <w:color w:val="auto"/>
          <w:lang w:val="en-US"/>
        </w:rPr>
      </w:pPr>
      <w:r w:rsidRPr="00387E47">
        <w:rPr>
          <w:color w:val="auto"/>
          <w:lang w:val="en-US"/>
        </w:rPr>
        <w:t xml:space="preserve">The Council pay all invoices in arrears following completion of the </w:t>
      </w:r>
      <w:r w:rsidRPr="00951D30">
        <w:rPr>
          <w:color w:val="auto"/>
          <w:lang w:val="en-US"/>
        </w:rPr>
        <w:t xml:space="preserve">service/successful delivery of the goods. </w:t>
      </w:r>
      <w:r w:rsidRPr="00387E47">
        <w:rPr>
          <w:color w:val="auto"/>
          <w:lang w:val="en-US"/>
        </w:rPr>
        <w:t>The contractor shall provide the Council with an invoice within 30 days of service completion/goods delivered. Invoices must detail:</w:t>
      </w:r>
    </w:p>
    <w:p w14:paraId="10921CA3"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name and address of the Council Representative (as displayed on the purchase order)</w:t>
      </w:r>
    </w:p>
    <w:p w14:paraId="50614BCA"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name and address</w:t>
      </w:r>
    </w:p>
    <w:p w14:paraId="3FA57586"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bank details</w:t>
      </w:r>
    </w:p>
    <w:p w14:paraId="499A7A29"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relevant Council Purchase Order number</w:t>
      </w:r>
    </w:p>
    <w:p w14:paraId="464D40A0"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 unique invoice number</w:t>
      </w:r>
    </w:p>
    <w:p w14:paraId="1CB509C7"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 xml:space="preserve">Full breakdown of the </w:t>
      </w:r>
      <w:r w:rsidRPr="00951D30">
        <w:rPr>
          <w:color w:val="auto"/>
          <w:lang w:val="en-US"/>
        </w:rPr>
        <w:t xml:space="preserve">service/goods </w:t>
      </w:r>
      <w:r w:rsidRPr="00387E47">
        <w:rPr>
          <w:color w:val="auto"/>
          <w:lang w:val="en-US"/>
        </w:rPr>
        <w:t>provided</w:t>
      </w:r>
    </w:p>
    <w:p w14:paraId="6844CDFD"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All costs, VAT charged and VAT number (if applicable)</w:t>
      </w:r>
    </w:p>
    <w:p w14:paraId="329F53AE" w14:textId="77777777" w:rsidR="00C6735D" w:rsidRPr="00387E47" w:rsidRDefault="00C6735D" w:rsidP="00AB124C">
      <w:pPr>
        <w:jc w:val="both"/>
        <w:rPr>
          <w:color w:val="auto"/>
          <w:lang w:val="en-US"/>
        </w:rPr>
      </w:pPr>
      <w:r w:rsidRPr="00387E47">
        <w:rPr>
          <w:color w:val="auto"/>
          <w:lang w:val="en-US"/>
        </w:rPr>
        <w:t>Invoice can be submitted via post or electronically via email, the email address will be displayed on the purchase order.</w:t>
      </w:r>
    </w:p>
    <w:p w14:paraId="2559FBDA" w14:textId="77777777" w:rsidR="00A76F29" w:rsidRPr="00AB124C" w:rsidRDefault="00A76F29" w:rsidP="00AB124C">
      <w:pPr>
        <w:jc w:val="both"/>
        <w:rPr>
          <w:color w:val="FF0000"/>
          <w:lang w:val="en-US"/>
        </w:rPr>
      </w:pPr>
    </w:p>
    <w:p w14:paraId="081F922C" w14:textId="77777777" w:rsidR="00A76F29" w:rsidRPr="00AB124C" w:rsidRDefault="00A76F29" w:rsidP="00AB124C">
      <w:pPr>
        <w:pStyle w:val="Heading1"/>
        <w:numPr>
          <w:ilvl w:val="0"/>
          <w:numId w:val="1"/>
        </w:numPr>
        <w:ind w:left="426" w:hanging="426"/>
        <w:jc w:val="both"/>
        <w:rPr>
          <w:rFonts w:cs="Arial"/>
          <w:lang w:val="en-US"/>
        </w:rPr>
      </w:pPr>
      <w:bookmarkStart w:id="10" w:name="_Toc160714163"/>
      <w:r w:rsidRPr="00AB124C">
        <w:rPr>
          <w:rFonts w:cs="Arial"/>
          <w:lang w:val="en-US"/>
        </w:rPr>
        <w:lastRenderedPageBreak/>
        <w:t>Terms and Conditions</w:t>
      </w:r>
      <w:bookmarkEnd w:id="10"/>
    </w:p>
    <w:p w14:paraId="7400B955" w14:textId="78363B57" w:rsidR="00387E47" w:rsidRPr="003627F6" w:rsidRDefault="00387E47" w:rsidP="00387E47">
      <w:pPr>
        <w:spacing w:before="120" w:after="120" w:line="249" w:lineRule="auto"/>
        <w:ind w:left="-5" w:right="5" w:hanging="10"/>
        <w:jc w:val="both"/>
        <w:rPr>
          <w:rFonts w:eastAsia="Verdana"/>
          <w:color w:val="auto"/>
        </w:rPr>
      </w:pPr>
      <w:r w:rsidRPr="003627F6">
        <w:rPr>
          <w:rFonts w:eastAsia="Verdana"/>
          <w:color w:val="auto"/>
        </w:rPr>
        <w:t xml:space="preserve">In submitting a response to this Invitation to Quote, </w:t>
      </w:r>
      <w:r w:rsidR="00BE0858" w:rsidRPr="003627F6">
        <w:rPr>
          <w:rFonts w:eastAsia="Verdana"/>
          <w:color w:val="auto"/>
        </w:rPr>
        <w:t xml:space="preserve">potential </w:t>
      </w:r>
      <w:r w:rsidR="003627F6" w:rsidRPr="003627F6">
        <w:rPr>
          <w:rFonts w:eastAsia="Verdana"/>
          <w:color w:val="auto"/>
        </w:rPr>
        <w:t xml:space="preserve">suppliers </w:t>
      </w:r>
      <w:r w:rsidRPr="003627F6">
        <w:rPr>
          <w:rFonts w:eastAsia="Verdana"/>
          <w:color w:val="auto"/>
        </w:rPr>
        <w:t xml:space="preserve">do so on the conditions set out in </w:t>
      </w:r>
      <w:r w:rsidR="003627F6" w:rsidRPr="003627F6">
        <w:rPr>
          <w:rFonts w:eastAsia="Verdana"/>
          <w:color w:val="auto"/>
        </w:rPr>
        <w:t>the Council’s</w:t>
      </w:r>
      <w:r w:rsidRPr="003627F6">
        <w:rPr>
          <w:rFonts w:eastAsia="Verdana"/>
          <w:color w:val="auto"/>
        </w:rPr>
        <w:t xml:space="preserve"> </w:t>
      </w:r>
      <w:r w:rsidR="00837164">
        <w:rPr>
          <w:rFonts w:eastAsia="Verdana"/>
          <w:color w:val="auto"/>
        </w:rPr>
        <w:t>Goods and Services</w:t>
      </w:r>
      <w:r w:rsidR="003627F6" w:rsidRPr="003627F6">
        <w:rPr>
          <w:rFonts w:eastAsia="Verdana"/>
          <w:color w:val="auto"/>
        </w:rPr>
        <w:t xml:space="preserve"> </w:t>
      </w:r>
      <w:r w:rsidRPr="003627F6">
        <w:rPr>
          <w:rFonts w:eastAsia="Verdana"/>
          <w:color w:val="auto"/>
        </w:rPr>
        <w:t>Contract</w:t>
      </w:r>
      <w:r w:rsidR="003627F6" w:rsidRPr="003627F6">
        <w:rPr>
          <w:rFonts w:eastAsia="Verdana"/>
          <w:color w:val="auto"/>
        </w:rPr>
        <w:t xml:space="preserve"> (Appendix A)</w:t>
      </w:r>
      <w:r w:rsidRPr="003627F6">
        <w:rPr>
          <w:rFonts w:eastAsia="Verdana"/>
          <w:color w:val="auto"/>
        </w:rPr>
        <w:t xml:space="preserve">, which is attached to this invitation.  In the event of any breach of the conditions, </w:t>
      </w:r>
      <w:r w:rsidR="003627F6" w:rsidRPr="003627F6">
        <w:rPr>
          <w:rFonts w:eastAsia="Verdana"/>
          <w:color w:val="auto"/>
        </w:rPr>
        <w:t>GBC</w:t>
      </w:r>
      <w:r w:rsidRPr="003627F6">
        <w:rPr>
          <w:rFonts w:eastAsia="Verdana"/>
          <w:color w:val="auto"/>
        </w:rPr>
        <w:t xml:space="preserve"> shall be entitled to terminate any arrangement made as a result of such procurement. </w:t>
      </w:r>
    </w:p>
    <w:p w14:paraId="5AD2F813" w14:textId="77777777" w:rsidR="005D1421" w:rsidRDefault="005D1421" w:rsidP="00951D30">
      <w:pPr>
        <w:spacing w:before="120" w:after="120" w:line="249" w:lineRule="auto"/>
        <w:ind w:right="5"/>
        <w:jc w:val="both"/>
        <w:rPr>
          <w:rFonts w:eastAsia="Verdana"/>
          <w:color w:val="4F81BD" w:themeColor="accent1"/>
        </w:rPr>
      </w:pPr>
    </w:p>
    <w:p w14:paraId="6A83D707" w14:textId="77777777" w:rsidR="005D1421" w:rsidRPr="005D1421" w:rsidRDefault="005D1421" w:rsidP="005D1421">
      <w:pPr>
        <w:pStyle w:val="Heading1"/>
        <w:numPr>
          <w:ilvl w:val="0"/>
          <w:numId w:val="1"/>
        </w:numPr>
        <w:ind w:left="426" w:hanging="426"/>
        <w:jc w:val="both"/>
        <w:rPr>
          <w:rFonts w:cs="Arial"/>
          <w:lang w:val="en-US"/>
        </w:rPr>
      </w:pPr>
      <w:bookmarkStart w:id="11" w:name="_Toc160714164"/>
      <w:r>
        <w:rPr>
          <w:rFonts w:cs="Arial"/>
          <w:lang w:val="en-US"/>
        </w:rPr>
        <w:t xml:space="preserve">Conduct and </w:t>
      </w:r>
      <w:r w:rsidRPr="005D1421">
        <w:rPr>
          <w:rFonts w:cs="Arial"/>
          <w:lang w:val="en-US"/>
        </w:rPr>
        <w:t>Conflicts of interest</w:t>
      </w:r>
      <w:bookmarkEnd w:id="11"/>
    </w:p>
    <w:p w14:paraId="5EDD177C" w14:textId="77777777" w:rsidR="005D1421" w:rsidRDefault="005D1421" w:rsidP="005D1421">
      <w:pPr>
        <w:jc w:val="both"/>
        <w:rPr>
          <w:color w:val="auto"/>
          <w:lang w:val="en-US"/>
        </w:rPr>
      </w:pPr>
    </w:p>
    <w:p w14:paraId="62DAD81F" w14:textId="525CFFBA" w:rsidR="005D1421" w:rsidRDefault="005D1421" w:rsidP="005D1421">
      <w:pPr>
        <w:jc w:val="both"/>
        <w:rPr>
          <w:color w:val="auto"/>
          <w:lang w:val="en-US"/>
        </w:rPr>
      </w:pPr>
      <w:r>
        <w:rPr>
          <w:color w:val="auto"/>
          <w:lang w:val="en-US"/>
        </w:rPr>
        <w:t xml:space="preserve">The </w:t>
      </w:r>
      <w:r w:rsidR="00AF0278">
        <w:rPr>
          <w:color w:val="auto"/>
          <w:lang w:val="en-US"/>
        </w:rPr>
        <w:t>S</w:t>
      </w:r>
      <w:r w:rsidR="00BE0858">
        <w:rPr>
          <w:color w:val="auto"/>
          <w:lang w:val="en-US"/>
        </w:rPr>
        <w:t>upplier</w:t>
      </w:r>
      <w:r w:rsidRPr="005D1421">
        <w:rPr>
          <w:color w:val="auto"/>
          <w:lang w:val="en-US"/>
        </w:rPr>
        <w:t xml:space="preserve"> shall not, before the date and time specified for return of the tender, communicate to any person the amount or approximate amount of the </w:t>
      </w:r>
      <w:r w:rsidR="00BE0858">
        <w:rPr>
          <w:color w:val="auto"/>
          <w:lang w:val="en-US"/>
        </w:rPr>
        <w:t>quote</w:t>
      </w:r>
      <w:r w:rsidRPr="005D1421">
        <w:rPr>
          <w:color w:val="auto"/>
          <w:lang w:val="en-US"/>
        </w:rPr>
        <w:t xml:space="preserve"> or proposed </w:t>
      </w:r>
      <w:r w:rsidR="00BE0858">
        <w:rPr>
          <w:color w:val="auto"/>
          <w:lang w:val="en-US"/>
        </w:rPr>
        <w:t>quote</w:t>
      </w:r>
      <w:r w:rsidRPr="005D1421">
        <w:rPr>
          <w:color w:val="auto"/>
          <w:lang w:val="en-US"/>
        </w:rPr>
        <w:t xml:space="preserve">, except where the disclosure in confidence of the approximate amount of </w:t>
      </w:r>
      <w:r w:rsidR="00BE0858">
        <w:rPr>
          <w:color w:val="auto"/>
          <w:lang w:val="en-US"/>
        </w:rPr>
        <w:t>quote</w:t>
      </w:r>
      <w:r w:rsidRPr="005D1421">
        <w:rPr>
          <w:color w:val="auto"/>
          <w:lang w:val="en-US"/>
        </w:rPr>
        <w:t xml:space="preserve"> is necessary to obtain insurance cover. </w:t>
      </w:r>
    </w:p>
    <w:p w14:paraId="00A20292" w14:textId="77777777" w:rsidR="005D1421" w:rsidRPr="005D1421" w:rsidRDefault="005D1421" w:rsidP="005D1421">
      <w:pPr>
        <w:jc w:val="both"/>
        <w:rPr>
          <w:color w:val="auto"/>
          <w:lang w:val="en-US"/>
        </w:rPr>
      </w:pPr>
    </w:p>
    <w:p w14:paraId="62493E54" w14:textId="77777777" w:rsidR="005D1421" w:rsidRDefault="005D1421" w:rsidP="005D1421">
      <w:pPr>
        <w:jc w:val="both"/>
        <w:rPr>
          <w:color w:val="auto"/>
          <w:lang w:val="en-US"/>
        </w:rPr>
      </w:pPr>
      <w:r w:rsidRPr="005D1421">
        <w:rPr>
          <w:color w:val="auto"/>
          <w:lang w:val="en-US"/>
        </w:rPr>
        <w:t xml:space="preserve">The </w:t>
      </w:r>
      <w:r w:rsidR="00BE0858">
        <w:rPr>
          <w:color w:val="auto"/>
          <w:lang w:val="en-US"/>
        </w:rPr>
        <w:t>quote</w:t>
      </w:r>
      <w:r w:rsidRPr="005D1421">
        <w:rPr>
          <w:color w:val="auto"/>
          <w:lang w:val="en-US"/>
        </w:rPr>
        <w:t xml:space="preserve"> shall be a bona-fide </w:t>
      </w:r>
      <w:r w:rsidR="00BE0858">
        <w:rPr>
          <w:color w:val="auto"/>
          <w:lang w:val="en-US"/>
        </w:rPr>
        <w:t>quote</w:t>
      </w:r>
      <w:r w:rsidRPr="005D1421">
        <w:rPr>
          <w:color w:val="auto"/>
          <w:lang w:val="en-US"/>
        </w:rPr>
        <w:t xml:space="preserve"> and shall not be fixed or adjusted by</w:t>
      </w:r>
      <w:r w:rsidR="00BE0858">
        <w:rPr>
          <w:color w:val="auto"/>
          <w:lang w:val="en-US"/>
        </w:rPr>
        <w:t>,</w:t>
      </w:r>
      <w:r w:rsidRPr="005D1421">
        <w:rPr>
          <w:color w:val="auto"/>
          <w:lang w:val="en-US"/>
        </w:rPr>
        <w:t xml:space="preserve"> under</w:t>
      </w:r>
      <w:r w:rsidR="00BE0858">
        <w:rPr>
          <w:color w:val="auto"/>
          <w:lang w:val="en-US"/>
        </w:rPr>
        <w:t>,</w:t>
      </w:r>
      <w:r w:rsidRPr="005D1421">
        <w:rPr>
          <w:color w:val="auto"/>
          <w:lang w:val="en-US"/>
        </w:rPr>
        <w:t xml:space="preserve"> or in accordance with any agreement or arrangement with any other person. </w:t>
      </w:r>
    </w:p>
    <w:p w14:paraId="2EE90B90" w14:textId="77777777" w:rsidR="00BE0858" w:rsidRPr="005D1421" w:rsidRDefault="00BE0858" w:rsidP="005D1421">
      <w:pPr>
        <w:jc w:val="both"/>
        <w:rPr>
          <w:color w:val="auto"/>
          <w:lang w:val="en-US"/>
        </w:rPr>
      </w:pPr>
    </w:p>
    <w:p w14:paraId="3D6D5999" w14:textId="77777777" w:rsidR="005D1421" w:rsidRDefault="00BE0858" w:rsidP="005D1421">
      <w:pPr>
        <w:jc w:val="both"/>
        <w:rPr>
          <w:color w:val="auto"/>
          <w:lang w:val="en-US"/>
        </w:rPr>
      </w:pPr>
      <w:r>
        <w:rPr>
          <w:color w:val="auto"/>
          <w:lang w:val="en-US"/>
        </w:rPr>
        <w:t>Suppliers</w:t>
      </w:r>
      <w:r w:rsidR="005D1421" w:rsidRPr="005D1421">
        <w:rPr>
          <w:color w:val="auto"/>
          <w:lang w:val="en-US"/>
        </w:rPr>
        <w:t xml:space="preserve"> shall not enter into any agreement or arrangement with any other person with the intent that the other person shall refrain from </w:t>
      </w:r>
      <w:r>
        <w:rPr>
          <w:color w:val="auto"/>
          <w:lang w:val="en-US"/>
        </w:rPr>
        <w:t>submitting a quote.</w:t>
      </w:r>
    </w:p>
    <w:p w14:paraId="27130499" w14:textId="77777777" w:rsidR="005D1421" w:rsidRPr="005D1421" w:rsidRDefault="005D1421" w:rsidP="005D1421">
      <w:pPr>
        <w:jc w:val="both"/>
        <w:rPr>
          <w:color w:val="auto"/>
          <w:lang w:val="en-US"/>
        </w:rPr>
      </w:pPr>
    </w:p>
    <w:p w14:paraId="1FA41609" w14:textId="77777777" w:rsidR="005D1421" w:rsidRPr="005D1421" w:rsidRDefault="00BE0858" w:rsidP="005D1421">
      <w:pPr>
        <w:jc w:val="both"/>
        <w:rPr>
          <w:color w:val="auto"/>
          <w:lang w:val="en-US"/>
        </w:rPr>
      </w:pPr>
      <w:r>
        <w:rPr>
          <w:color w:val="auto"/>
          <w:lang w:val="en-US"/>
        </w:rPr>
        <w:t>Suppliers</w:t>
      </w:r>
      <w:r w:rsidR="005D1421" w:rsidRPr="005D1421">
        <w:rPr>
          <w:color w:val="auto"/>
          <w:lang w:val="en-US"/>
        </w:rPr>
        <w:t xml:space="preserve"> must not, in connection with the proposed </w:t>
      </w:r>
      <w:r>
        <w:rPr>
          <w:color w:val="auto"/>
          <w:lang w:val="en-US"/>
        </w:rPr>
        <w:t>quote</w:t>
      </w:r>
      <w:r w:rsidR="005D1421" w:rsidRPr="005D1421">
        <w:rPr>
          <w:color w:val="auto"/>
          <w:lang w:val="en-US"/>
        </w:rPr>
        <w:t xml:space="preserve">: </w:t>
      </w:r>
    </w:p>
    <w:p w14:paraId="74EE1070"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offer any inducement, fee or reward to any mem</w:t>
      </w:r>
      <w:r w:rsidR="00BE0858">
        <w:rPr>
          <w:rFonts w:eastAsia="Verdana"/>
        </w:rPr>
        <w:t>ber or officer of the Authority/Council</w:t>
      </w:r>
    </w:p>
    <w:p w14:paraId="6BF9893A"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 xml:space="preserve">do anything which would constitute a breach of the Bribery Act 2010 or the Section 117 (2) Local Government Act 1972, or </w:t>
      </w:r>
    </w:p>
    <w:p w14:paraId="5F126FAD" w14:textId="77777777" w:rsidR="00BE0858" w:rsidRPr="00BE0858" w:rsidRDefault="005D1421" w:rsidP="005D1421">
      <w:pPr>
        <w:pStyle w:val="ListParagraph"/>
        <w:numPr>
          <w:ilvl w:val="0"/>
          <w:numId w:val="10"/>
        </w:numPr>
        <w:spacing w:before="120" w:after="120" w:line="249" w:lineRule="auto"/>
        <w:ind w:right="5"/>
        <w:jc w:val="both"/>
      </w:pPr>
      <w:r w:rsidRPr="00D36BB4">
        <w:rPr>
          <w:rFonts w:eastAsia="Verdana"/>
        </w:rPr>
        <w:t>canvass any of the persons referred to above in connectio</w:t>
      </w:r>
      <w:r w:rsidR="00BE0858">
        <w:rPr>
          <w:rFonts w:eastAsia="Verdana"/>
        </w:rPr>
        <w:t>n with the provision;</w:t>
      </w:r>
    </w:p>
    <w:p w14:paraId="6153388E" w14:textId="77777777" w:rsidR="005D1421" w:rsidRPr="00D36BB4" w:rsidRDefault="00BE0858" w:rsidP="00BE0858">
      <w:pPr>
        <w:pStyle w:val="ListParagraph"/>
        <w:numPr>
          <w:ilvl w:val="1"/>
          <w:numId w:val="10"/>
        </w:numPr>
        <w:spacing w:before="120" w:after="120" w:line="249" w:lineRule="auto"/>
        <w:ind w:right="5"/>
        <w:jc w:val="both"/>
      </w:pPr>
      <w:r>
        <w:rPr>
          <w:rFonts w:eastAsia="Verdana"/>
        </w:rPr>
        <w:t xml:space="preserve">or contact, </w:t>
      </w:r>
      <w:r w:rsidR="005D1421" w:rsidRPr="00D36BB4">
        <w:rPr>
          <w:rFonts w:eastAsia="Verdana"/>
        </w:rPr>
        <w:t>any member or officer of the Authority</w:t>
      </w:r>
      <w:r>
        <w:rPr>
          <w:rFonts w:eastAsia="Verdana"/>
        </w:rPr>
        <w:t>/Council</w:t>
      </w:r>
      <w:r w:rsidR="005D1421" w:rsidRPr="00D36BB4">
        <w:rPr>
          <w:rFonts w:eastAsia="Verdana"/>
        </w:rPr>
        <w:t xml:space="preserve"> or any person acting as an advisor to the Authority</w:t>
      </w:r>
      <w:r>
        <w:rPr>
          <w:rFonts w:eastAsia="Verdana"/>
        </w:rPr>
        <w:t>/Council</w:t>
      </w:r>
      <w:r w:rsidR="005D1421" w:rsidRPr="00D36BB4">
        <w:rPr>
          <w:rFonts w:eastAsia="Verdana"/>
        </w:rPr>
        <w:t xml:space="preserve"> (except as authorised by this Invitation to </w:t>
      </w:r>
      <w:r>
        <w:rPr>
          <w:rFonts w:eastAsia="Verdana"/>
        </w:rPr>
        <w:t>Quote</w:t>
      </w:r>
      <w:r w:rsidR="005D1421" w:rsidRPr="00D36BB4">
        <w:rPr>
          <w:rFonts w:eastAsia="Verdana"/>
        </w:rPr>
        <w:t xml:space="preserve"> for the purpose of asking genuine questions about the process or the </w:t>
      </w:r>
      <w:r>
        <w:rPr>
          <w:rFonts w:eastAsia="Verdana"/>
        </w:rPr>
        <w:t>provision</w:t>
      </w:r>
      <w:r w:rsidR="005D1421" w:rsidRPr="00D36BB4">
        <w:rPr>
          <w:rFonts w:eastAsia="Verdana"/>
        </w:rPr>
        <w:t xml:space="preserve">) about any aspect of the proposed </w:t>
      </w:r>
      <w:r>
        <w:rPr>
          <w:rFonts w:eastAsia="Verdana"/>
        </w:rPr>
        <w:t>provision</w:t>
      </w:r>
      <w:r w:rsidR="005D1421" w:rsidRPr="00D36BB4">
        <w:rPr>
          <w:rFonts w:eastAsia="Verdana"/>
        </w:rPr>
        <w:t xml:space="preserve"> or for soliciting information in connection therewith. </w:t>
      </w:r>
    </w:p>
    <w:p w14:paraId="3D5CB369" w14:textId="007E02F9" w:rsidR="00387E47" w:rsidRPr="002378EA" w:rsidRDefault="008156A9" w:rsidP="002378EA">
      <w:pPr>
        <w:spacing w:before="120" w:after="120" w:line="249" w:lineRule="auto"/>
        <w:ind w:right="5"/>
        <w:rPr>
          <w:rFonts w:ascii="Verdana" w:eastAsia="Verdana" w:hAnsi="Verdana" w:cs="Verdana"/>
        </w:rPr>
      </w:pPr>
      <w:r>
        <w:rPr>
          <w:rFonts w:eastAsia="Verdana"/>
        </w:rPr>
        <w:t>Suppliers</w:t>
      </w:r>
      <w:r w:rsidR="005D1421" w:rsidRPr="00D36BB4">
        <w:rPr>
          <w:rFonts w:eastAsia="Verdana"/>
        </w:rPr>
        <w:t xml:space="preserve"> are responsible for ensuring that no conflicts of interest exist between the </w:t>
      </w:r>
      <w:r>
        <w:rPr>
          <w:rFonts w:eastAsia="Verdana"/>
        </w:rPr>
        <w:t>Supplier</w:t>
      </w:r>
      <w:r w:rsidR="005D1421" w:rsidRPr="00D36BB4">
        <w:rPr>
          <w:rFonts w:eastAsia="Verdana"/>
        </w:rPr>
        <w:t xml:space="preserve"> and its advisors and the C</w:t>
      </w:r>
      <w:r>
        <w:rPr>
          <w:rFonts w:eastAsia="Verdana"/>
        </w:rPr>
        <w:t>ouncil</w:t>
      </w:r>
      <w:r w:rsidR="005D1421" w:rsidRPr="00D36BB4">
        <w:rPr>
          <w:rFonts w:eastAsia="Verdana"/>
        </w:rPr>
        <w:t xml:space="preserve"> and its advisors.  Any </w:t>
      </w:r>
      <w:r>
        <w:rPr>
          <w:rFonts w:eastAsia="Verdana"/>
        </w:rPr>
        <w:t xml:space="preserve">Supplier </w:t>
      </w:r>
      <w:r w:rsidR="005D1421" w:rsidRPr="00D36BB4">
        <w:rPr>
          <w:rFonts w:eastAsia="Verdana"/>
        </w:rPr>
        <w:t xml:space="preserve">who fails to comply with this requirement may be disqualified from the procurement process at the discretion of the </w:t>
      </w:r>
      <w:r w:rsidR="00E571C6">
        <w:rPr>
          <w:rFonts w:eastAsia="Verdana"/>
        </w:rPr>
        <w:t>Council</w:t>
      </w:r>
      <w:r w:rsidR="005D1421" w:rsidRPr="00D36BB4">
        <w:rPr>
          <w:rFonts w:eastAsia="Verdana"/>
        </w:rPr>
        <w:t>. Any conflicts</w:t>
      </w:r>
      <w:r w:rsidR="00D36BB4" w:rsidRPr="00D36BB4">
        <w:rPr>
          <w:rFonts w:eastAsia="Verdana"/>
        </w:rPr>
        <w:t xml:space="preserve"> of interests</w:t>
      </w:r>
      <w:r w:rsidR="005D1421" w:rsidRPr="00D36BB4">
        <w:rPr>
          <w:rFonts w:eastAsia="Verdana"/>
        </w:rPr>
        <w:t xml:space="preserve"> must be declared to the Council at the earliest </w:t>
      </w:r>
      <w:r w:rsidR="002378EA">
        <w:rPr>
          <w:rFonts w:eastAsia="Verdana"/>
        </w:rPr>
        <w:t>opportunity.</w:t>
      </w:r>
    </w:p>
    <w:sectPr w:rsidR="00387E47" w:rsidRPr="002378E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7332" w14:textId="77777777" w:rsidR="00A0398C" w:rsidRDefault="00A0398C" w:rsidP="00A76F29">
      <w:pPr>
        <w:spacing w:line="240" w:lineRule="auto"/>
      </w:pPr>
      <w:r>
        <w:separator/>
      </w:r>
    </w:p>
  </w:endnote>
  <w:endnote w:type="continuationSeparator" w:id="0">
    <w:p w14:paraId="2B40666F" w14:textId="77777777" w:rsidR="00A0398C" w:rsidRDefault="00A0398C"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3953" w14:textId="77777777" w:rsidR="00A0398C" w:rsidRDefault="00A03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382C6700" w14:textId="4A611A3B" w:rsidR="00A0398C" w:rsidRDefault="00A0398C">
        <w:pPr>
          <w:pStyle w:val="Footer"/>
          <w:jc w:val="right"/>
        </w:pPr>
        <w:r>
          <w:fldChar w:fldCharType="begin"/>
        </w:r>
        <w:r>
          <w:instrText xml:space="preserve"> PAGE   \* MERGEFORMAT </w:instrText>
        </w:r>
        <w:r>
          <w:fldChar w:fldCharType="separate"/>
        </w:r>
        <w:r w:rsidR="00A554CC">
          <w:rPr>
            <w:noProof/>
          </w:rPr>
          <w:t>9</w:t>
        </w:r>
        <w:r>
          <w:rPr>
            <w:noProof/>
          </w:rPr>
          <w:fldChar w:fldCharType="end"/>
        </w:r>
      </w:p>
    </w:sdtContent>
  </w:sdt>
  <w:p w14:paraId="1A784E48" w14:textId="77777777" w:rsidR="00A0398C" w:rsidRDefault="00A03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03B9" w14:textId="77777777" w:rsidR="00A0398C" w:rsidRDefault="00A03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9731" w14:textId="77777777" w:rsidR="00A0398C" w:rsidRDefault="00A0398C" w:rsidP="00A76F29">
      <w:pPr>
        <w:spacing w:line="240" w:lineRule="auto"/>
      </w:pPr>
      <w:r>
        <w:separator/>
      </w:r>
    </w:p>
  </w:footnote>
  <w:footnote w:type="continuationSeparator" w:id="0">
    <w:p w14:paraId="37E0F315" w14:textId="77777777" w:rsidR="00A0398C" w:rsidRDefault="00A0398C"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F868" w14:textId="77777777" w:rsidR="00A0398C" w:rsidRDefault="00A03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067A" w14:textId="77777777" w:rsidR="00A0398C" w:rsidRDefault="00A0398C">
    <w:pPr>
      <w:pStyle w:val="Header"/>
    </w:pPr>
    <w:r>
      <w:tab/>
    </w:r>
    <w:r>
      <w:tab/>
    </w:r>
    <w:r>
      <w:rPr>
        <w:noProof/>
        <w:lang w:eastAsia="en-GB"/>
      </w:rPr>
      <w:drawing>
        <wp:inline distT="0" distB="0" distL="0" distR="0" wp14:anchorId="6F43485A" wp14:editId="033B922B">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72E8" w14:textId="77777777" w:rsidR="00A0398C" w:rsidRDefault="00A0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388"/>
    <w:multiLevelType w:val="hybridMultilevel"/>
    <w:tmpl w:val="293895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0F6C5B"/>
    <w:multiLevelType w:val="hybridMultilevel"/>
    <w:tmpl w:val="49DC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2C2F84"/>
    <w:multiLevelType w:val="hybridMultilevel"/>
    <w:tmpl w:val="464C2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24172"/>
    <w:multiLevelType w:val="hybridMultilevel"/>
    <w:tmpl w:val="D11CB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FB03C2"/>
    <w:multiLevelType w:val="hybridMultilevel"/>
    <w:tmpl w:val="9BB4C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C002C"/>
    <w:multiLevelType w:val="hybridMultilevel"/>
    <w:tmpl w:val="C69012DE"/>
    <w:lvl w:ilvl="0" w:tplc="98D6F23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B3CDA"/>
    <w:multiLevelType w:val="hybridMultilevel"/>
    <w:tmpl w:val="8A962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F0E08"/>
    <w:multiLevelType w:val="hybridMultilevel"/>
    <w:tmpl w:val="52DAE6E8"/>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31A70"/>
    <w:multiLevelType w:val="hybridMultilevel"/>
    <w:tmpl w:val="F1BA0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D258F"/>
    <w:multiLevelType w:val="hybridMultilevel"/>
    <w:tmpl w:val="F0E4042E"/>
    <w:lvl w:ilvl="0" w:tplc="9D903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4"/>
  </w:num>
  <w:num w:numId="5">
    <w:abstractNumId w:val="5"/>
  </w:num>
  <w:num w:numId="6">
    <w:abstractNumId w:val="15"/>
  </w:num>
  <w:num w:numId="7">
    <w:abstractNumId w:val="3"/>
  </w:num>
  <w:num w:numId="8">
    <w:abstractNumId w:val="8"/>
  </w:num>
  <w:num w:numId="9">
    <w:abstractNumId w:val="16"/>
  </w:num>
  <w:num w:numId="10">
    <w:abstractNumId w:val="13"/>
  </w:num>
  <w:num w:numId="11">
    <w:abstractNumId w:val="9"/>
  </w:num>
  <w:num w:numId="12">
    <w:abstractNumId w:val="1"/>
  </w:num>
  <w:num w:numId="13">
    <w:abstractNumId w:val="7"/>
  </w:num>
  <w:num w:numId="14">
    <w:abstractNumId w:val="0"/>
  </w:num>
  <w:num w:numId="15">
    <w:abstractNumId w:val="11"/>
  </w:num>
  <w:num w:numId="16">
    <w:abstractNumId w:val="18"/>
  </w:num>
  <w:num w:numId="17">
    <w:abstractNumId w:val="10"/>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3243C"/>
    <w:rsid w:val="000771AE"/>
    <w:rsid w:val="000D084B"/>
    <w:rsid w:val="00134033"/>
    <w:rsid w:val="00161461"/>
    <w:rsid w:val="00163BDB"/>
    <w:rsid w:val="001830B3"/>
    <w:rsid w:val="00216C1E"/>
    <w:rsid w:val="002378EA"/>
    <w:rsid w:val="00302A14"/>
    <w:rsid w:val="003111DF"/>
    <w:rsid w:val="0031405A"/>
    <w:rsid w:val="003369E6"/>
    <w:rsid w:val="003470C4"/>
    <w:rsid w:val="003627F6"/>
    <w:rsid w:val="00362A91"/>
    <w:rsid w:val="00366F7F"/>
    <w:rsid w:val="00385C57"/>
    <w:rsid w:val="00387E47"/>
    <w:rsid w:val="003940AE"/>
    <w:rsid w:val="003C72DD"/>
    <w:rsid w:val="003E043C"/>
    <w:rsid w:val="003F10C0"/>
    <w:rsid w:val="003F77B1"/>
    <w:rsid w:val="00415D04"/>
    <w:rsid w:val="004C22A4"/>
    <w:rsid w:val="00522BAA"/>
    <w:rsid w:val="005432E8"/>
    <w:rsid w:val="00561108"/>
    <w:rsid w:val="00574CFF"/>
    <w:rsid w:val="005C3903"/>
    <w:rsid w:val="005D1421"/>
    <w:rsid w:val="005E3F40"/>
    <w:rsid w:val="00643F40"/>
    <w:rsid w:val="00655C3C"/>
    <w:rsid w:val="006835E8"/>
    <w:rsid w:val="006F338B"/>
    <w:rsid w:val="007A0641"/>
    <w:rsid w:val="007E230D"/>
    <w:rsid w:val="007F23D5"/>
    <w:rsid w:val="00803094"/>
    <w:rsid w:val="008156A9"/>
    <w:rsid w:val="008320E9"/>
    <w:rsid w:val="00836A7E"/>
    <w:rsid w:val="00837164"/>
    <w:rsid w:val="00853C48"/>
    <w:rsid w:val="009139AB"/>
    <w:rsid w:val="009178B3"/>
    <w:rsid w:val="00951D30"/>
    <w:rsid w:val="009716EA"/>
    <w:rsid w:val="009A0CD0"/>
    <w:rsid w:val="009A5517"/>
    <w:rsid w:val="009C6330"/>
    <w:rsid w:val="00A0398C"/>
    <w:rsid w:val="00A22CCF"/>
    <w:rsid w:val="00A35126"/>
    <w:rsid w:val="00A554CC"/>
    <w:rsid w:val="00A6728A"/>
    <w:rsid w:val="00A76F29"/>
    <w:rsid w:val="00AB097D"/>
    <w:rsid w:val="00AB124C"/>
    <w:rsid w:val="00AF0278"/>
    <w:rsid w:val="00B5682B"/>
    <w:rsid w:val="00BE0858"/>
    <w:rsid w:val="00C00D19"/>
    <w:rsid w:val="00C6735D"/>
    <w:rsid w:val="00CB34F0"/>
    <w:rsid w:val="00CF6C99"/>
    <w:rsid w:val="00D36BB4"/>
    <w:rsid w:val="00D41D8C"/>
    <w:rsid w:val="00D7091B"/>
    <w:rsid w:val="00D85C57"/>
    <w:rsid w:val="00DC302E"/>
    <w:rsid w:val="00DF11B1"/>
    <w:rsid w:val="00E47203"/>
    <w:rsid w:val="00E571C6"/>
    <w:rsid w:val="00E73E4A"/>
    <w:rsid w:val="00E967DB"/>
    <w:rsid w:val="00EB5E75"/>
    <w:rsid w:val="00ED1BA4"/>
    <w:rsid w:val="00F21555"/>
    <w:rsid w:val="00FD0BAA"/>
    <w:rsid w:val="00FE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4AAB"/>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paragraph" w:styleId="Heading3">
    <w:name w:val="heading 3"/>
    <w:basedOn w:val="Normal"/>
    <w:next w:val="Normal"/>
    <w:link w:val="Heading3Char"/>
    <w:uiPriority w:val="9"/>
    <w:semiHidden/>
    <w:unhideWhenUsed/>
    <w:qFormat/>
    <w:rsid w:val="000D084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character" w:customStyle="1" w:styleId="Heading3Char">
    <w:name w:val="Heading 3 Char"/>
    <w:basedOn w:val="DefaultParagraphFont"/>
    <w:link w:val="Heading3"/>
    <w:uiPriority w:val="9"/>
    <w:semiHidden/>
    <w:rsid w:val="000D084B"/>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0D084B"/>
    <w:pPr>
      <w:spacing w:after="12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0D084B"/>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951D30"/>
    <w:rPr>
      <w:sz w:val="16"/>
      <w:szCs w:val="16"/>
    </w:rPr>
  </w:style>
  <w:style w:type="paragraph" w:styleId="CommentText">
    <w:name w:val="annotation text"/>
    <w:basedOn w:val="Normal"/>
    <w:link w:val="CommentTextChar"/>
    <w:uiPriority w:val="99"/>
    <w:semiHidden/>
    <w:unhideWhenUsed/>
    <w:rsid w:val="00951D30"/>
    <w:pPr>
      <w:spacing w:line="240" w:lineRule="auto"/>
    </w:pPr>
    <w:rPr>
      <w:sz w:val="20"/>
      <w:szCs w:val="20"/>
    </w:rPr>
  </w:style>
  <w:style w:type="character" w:customStyle="1" w:styleId="CommentTextChar">
    <w:name w:val="Comment Text Char"/>
    <w:basedOn w:val="DefaultParagraphFont"/>
    <w:link w:val="CommentText"/>
    <w:uiPriority w:val="99"/>
    <w:semiHidden/>
    <w:rsid w:val="00951D30"/>
    <w:rPr>
      <w:sz w:val="20"/>
      <w:szCs w:val="20"/>
    </w:rPr>
  </w:style>
  <w:style w:type="paragraph" w:styleId="CommentSubject">
    <w:name w:val="annotation subject"/>
    <w:basedOn w:val="CommentText"/>
    <w:next w:val="CommentText"/>
    <w:link w:val="CommentSubjectChar"/>
    <w:uiPriority w:val="99"/>
    <w:semiHidden/>
    <w:unhideWhenUsed/>
    <w:rsid w:val="00951D30"/>
    <w:rPr>
      <w:b/>
      <w:bCs/>
    </w:rPr>
  </w:style>
  <w:style w:type="character" w:customStyle="1" w:styleId="CommentSubjectChar">
    <w:name w:val="Comment Subject Char"/>
    <w:basedOn w:val="CommentTextChar"/>
    <w:link w:val="CommentSubject"/>
    <w:uiPriority w:val="99"/>
    <w:semiHidden/>
    <w:rsid w:val="00951D30"/>
    <w:rPr>
      <w:b/>
      <w:bCs/>
      <w:sz w:val="20"/>
      <w:szCs w:val="20"/>
    </w:rPr>
  </w:style>
  <w:style w:type="paragraph" w:styleId="BalloonText">
    <w:name w:val="Balloon Text"/>
    <w:basedOn w:val="Normal"/>
    <w:link w:val="BalloonTextChar"/>
    <w:uiPriority w:val="99"/>
    <w:semiHidden/>
    <w:unhideWhenUsed/>
    <w:rsid w:val="00951D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D30"/>
    <w:rPr>
      <w:rFonts w:ascii="Segoe UI" w:hAnsi="Segoe UI" w:cs="Segoe UI"/>
      <w:sz w:val="18"/>
      <w:szCs w:val="18"/>
    </w:rPr>
  </w:style>
  <w:style w:type="paragraph" w:styleId="TOC3">
    <w:name w:val="toc 3"/>
    <w:basedOn w:val="Normal"/>
    <w:next w:val="Normal"/>
    <w:autoRedefine/>
    <w:uiPriority w:val="39"/>
    <w:unhideWhenUsed/>
    <w:rsid w:val="00D41D8C"/>
    <w:pPr>
      <w:spacing w:after="100"/>
      <w:ind w:left="480"/>
    </w:pPr>
  </w:style>
  <w:style w:type="paragraph" w:styleId="NoSpacing">
    <w:name w:val="No Spacing"/>
    <w:aliases w:val="Text"/>
    <w:uiPriority w:val="1"/>
    <w:qFormat/>
    <w:rsid w:val="00D41D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bp.due-north.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C73503-1F61-4AD0-A18A-296CEF6751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F37749-7E88-46D9-AEF6-321EE6720373}">
  <ds:schemaRefs>
    <ds:schemaRef ds:uri="http://schemas.microsoft.com/sharepoint/v3/contenttype/forms"/>
  </ds:schemaRefs>
</ds:datastoreItem>
</file>

<file path=customXml/itemProps3.xml><?xml version="1.0" encoding="utf-8"?>
<ds:datastoreItem xmlns:ds="http://schemas.openxmlformats.org/officeDocument/2006/customXml" ds:itemID="{E3C579E0-4134-4E72-9C42-C271E5B8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ABFCB3-DBA6-4A50-A4B8-C576B5C2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7</cp:revision>
  <dcterms:created xsi:type="dcterms:W3CDTF">2024-03-05T15:32:00Z</dcterms:created>
  <dcterms:modified xsi:type="dcterms:W3CDTF">2024-03-07T14:29:00Z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