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EE" w:rsidRPr="00F633F7" w:rsidRDefault="00E872C9" w:rsidP="00F633F7">
      <w:pPr>
        <w:spacing w:line="240" w:lineRule="auto"/>
        <w:jc w:val="center"/>
        <w:rPr>
          <w:rFonts w:cs="Arial"/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  <w:r>
        <w:rPr>
          <w:rFonts w:cs="Arial"/>
          <w:b/>
          <w:color w:val="000000" w:themeColor="text1"/>
          <w:sz w:val="28"/>
          <w:szCs w:val="28"/>
          <w:u w:val="single"/>
        </w:rPr>
        <w:t>INVITATION TO QUOTE</w:t>
      </w:r>
      <w:r w:rsidR="009457DF">
        <w:rPr>
          <w:rFonts w:cs="Arial"/>
          <w:b/>
          <w:color w:val="000000" w:themeColor="text1"/>
          <w:sz w:val="28"/>
          <w:szCs w:val="28"/>
          <w:u w:val="single"/>
        </w:rPr>
        <w:t xml:space="preserve"> </w:t>
      </w:r>
      <w:r w:rsidR="009D04EE" w:rsidRPr="00F633F7">
        <w:rPr>
          <w:rFonts w:cs="Arial"/>
          <w:b/>
          <w:color w:val="000000" w:themeColor="text1"/>
          <w:sz w:val="28"/>
          <w:szCs w:val="28"/>
          <w:u w:val="single"/>
        </w:rPr>
        <w:t xml:space="preserve">FOR </w:t>
      </w:r>
      <w:r w:rsidR="00021F41" w:rsidRPr="00F633F7">
        <w:rPr>
          <w:rFonts w:cs="Arial"/>
          <w:b/>
          <w:color w:val="000000" w:themeColor="text1"/>
          <w:sz w:val="28"/>
          <w:szCs w:val="28"/>
          <w:u w:val="single"/>
        </w:rPr>
        <w:t xml:space="preserve">THE </w:t>
      </w:r>
      <w:r w:rsidR="00627944" w:rsidRPr="00F633F7">
        <w:rPr>
          <w:rFonts w:cs="Arial"/>
          <w:b/>
          <w:color w:val="000000" w:themeColor="text1"/>
          <w:sz w:val="28"/>
          <w:szCs w:val="28"/>
          <w:u w:val="single"/>
        </w:rPr>
        <w:t>SUPPLY/PROVISON OF ENFOREMENT AGENT SERVICES TO GOSPORT BOROUGH COUNCIL</w:t>
      </w:r>
    </w:p>
    <w:p w:rsidR="009D04EE" w:rsidRPr="00F633F7" w:rsidRDefault="009D04EE" w:rsidP="00F633F7">
      <w:pPr>
        <w:spacing w:line="240" w:lineRule="auto"/>
        <w:rPr>
          <w:rFonts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566" w:type="dxa"/>
        <w:tblLook w:val="04A0" w:firstRow="1" w:lastRow="0" w:firstColumn="1" w:lastColumn="0" w:noHBand="0" w:noVBand="1"/>
      </w:tblPr>
      <w:tblGrid>
        <w:gridCol w:w="3680"/>
        <w:gridCol w:w="4394"/>
      </w:tblGrid>
      <w:tr w:rsidR="00070294" w:rsidRPr="00F633F7" w:rsidTr="00070294">
        <w:trPr>
          <w:trHeight w:val="1020"/>
        </w:trPr>
        <w:tc>
          <w:tcPr>
            <w:tcW w:w="3680" w:type="dxa"/>
          </w:tcPr>
          <w:p w:rsidR="00070294" w:rsidRPr="00F633F7" w:rsidRDefault="00E872C9" w:rsidP="00F633F7">
            <w:pPr>
              <w:spacing w:after="20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ITQ</w:t>
            </w:r>
            <w:r w:rsidR="00070294" w:rsidRPr="00F633F7">
              <w:rPr>
                <w:rFonts w:cs="Arial"/>
                <w:color w:val="000000" w:themeColor="text1"/>
                <w:sz w:val="24"/>
                <w:szCs w:val="24"/>
              </w:rPr>
              <w:t xml:space="preserve"> Title: </w:t>
            </w:r>
          </w:p>
        </w:tc>
        <w:tc>
          <w:tcPr>
            <w:tcW w:w="4394" w:type="dxa"/>
          </w:tcPr>
          <w:p w:rsidR="00070294" w:rsidRPr="00F633F7" w:rsidRDefault="0030018E" w:rsidP="00F633F7">
            <w:pPr>
              <w:spacing w:after="200"/>
              <w:rPr>
                <w:rFonts w:cs="Arial"/>
                <w:color w:val="000000" w:themeColor="text1"/>
                <w:sz w:val="24"/>
                <w:szCs w:val="24"/>
              </w:rPr>
            </w:pPr>
            <w:r w:rsidRPr="00F633F7">
              <w:rPr>
                <w:rFonts w:cs="Arial"/>
                <w:color w:val="000000" w:themeColor="text1"/>
                <w:sz w:val="24"/>
                <w:szCs w:val="24"/>
              </w:rPr>
              <w:t>Supply of Enforcement Agency Services (Penalty Charge Notices) to Gosport Borough Council</w:t>
            </w:r>
          </w:p>
        </w:tc>
      </w:tr>
      <w:tr w:rsidR="00070294" w:rsidRPr="00F633F7" w:rsidTr="00070294">
        <w:trPr>
          <w:trHeight w:val="1020"/>
        </w:trPr>
        <w:tc>
          <w:tcPr>
            <w:tcW w:w="3680" w:type="dxa"/>
          </w:tcPr>
          <w:p w:rsidR="00070294" w:rsidRPr="00F633F7" w:rsidRDefault="00070294" w:rsidP="00F633F7">
            <w:pPr>
              <w:spacing w:after="200"/>
              <w:rPr>
                <w:rFonts w:cs="Arial"/>
                <w:color w:val="000000" w:themeColor="text1"/>
                <w:sz w:val="24"/>
                <w:szCs w:val="24"/>
              </w:rPr>
            </w:pPr>
            <w:r w:rsidRPr="00F633F7">
              <w:rPr>
                <w:rFonts w:cs="Arial"/>
                <w:color w:val="000000" w:themeColor="text1"/>
                <w:sz w:val="24"/>
                <w:szCs w:val="24"/>
              </w:rPr>
              <w:t>Contract Period:</w:t>
            </w:r>
          </w:p>
        </w:tc>
        <w:tc>
          <w:tcPr>
            <w:tcW w:w="4394" w:type="dxa"/>
          </w:tcPr>
          <w:p w:rsidR="00070294" w:rsidRPr="00F633F7" w:rsidRDefault="00070294" w:rsidP="00F633F7">
            <w:pPr>
              <w:spacing w:after="200"/>
              <w:rPr>
                <w:rFonts w:cs="Arial"/>
                <w:color w:val="000000" w:themeColor="text1"/>
                <w:sz w:val="24"/>
                <w:szCs w:val="24"/>
              </w:rPr>
            </w:pPr>
            <w:r w:rsidRPr="00F633F7">
              <w:rPr>
                <w:rFonts w:cs="Arial"/>
                <w:color w:val="000000" w:themeColor="text1"/>
                <w:sz w:val="24"/>
                <w:szCs w:val="24"/>
              </w:rPr>
              <w:t xml:space="preserve">2 years with an option to extend for a further </w:t>
            </w:r>
            <w:r w:rsidR="0018296B" w:rsidRPr="00F633F7">
              <w:rPr>
                <w:rFonts w:cs="Arial"/>
                <w:color w:val="000000" w:themeColor="text1"/>
                <w:sz w:val="24"/>
                <w:szCs w:val="24"/>
              </w:rPr>
              <w:t xml:space="preserve">2 </w:t>
            </w:r>
            <w:r w:rsidRPr="00F633F7">
              <w:rPr>
                <w:rFonts w:cs="Arial"/>
                <w:color w:val="000000" w:themeColor="text1"/>
                <w:sz w:val="24"/>
                <w:szCs w:val="24"/>
              </w:rPr>
              <w:t>year</w:t>
            </w:r>
            <w:r w:rsidR="0018296B" w:rsidRPr="00F633F7">
              <w:rPr>
                <w:rFonts w:cs="Arial"/>
                <w:color w:val="000000" w:themeColor="text1"/>
                <w:sz w:val="24"/>
                <w:szCs w:val="24"/>
              </w:rPr>
              <w:t>s</w:t>
            </w:r>
            <w:r w:rsidR="00F02CB5" w:rsidRPr="00F633F7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="006D7BFB" w:rsidRPr="00F633F7">
              <w:rPr>
                <w:rFonts w:cs="Arial"/>
                <w:color w:val="000000" w:themeColor="text1"/>
                <w:sz w:val="24"/>
                <w:szCs w:val="24"/>
              </w:rPr>
              <w:t>on an annual basis</w:t>
            </w:r>
          </w:p>
        </w:tc>
      </w:tr>
      <w:tr w:rsidR="00070294" w:rsidRPr="00F633F7" w:rsidTr="00070294">
        <w:trPr>
          <w:trHeight w:val="1020"/>
        </w:trPr>
        <w:tc>
          <w:tcPr>
            <w:tcW w:w="3680" w:type="dxa"/>
          </w:tcPr>
          <w:p w:rsidR="00070294" w:rsidRPr="00F633F7" w:rsidRDefault="00E872C9" w:rsidP="00F633F7">
            <w:pPr>
              <w:spacing w:after="20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Deadline for Response</w:t>
            </w:r>
            <w:r w:rsidR="00070294" w:rsidRPr="00F633F7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070294" w:rsidRPr="00F633F7" w:rsidRDefault="00A732E3" w:rsidP="00F633F7">
            <w:pPr>
              <w:spacing w:after="20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12:00 26</w:t>
            </w:r>
            <w:r w:rsidR="00F02CB5" w:rsidRPr="00F633F7">
              <w:rPr>
                <w:rFonts w:cs="Arial"/>
                <w:color w:val="000000" w:themeColor="text1"/>
                <w:sz w:val="24"/>
                <w:szCs w:val="24"/>
              </w:rPr>
              <w:t>/05/2021</w:t>
            </w:r>
          </w:p>
        </w:tc>
      </w:tr>
      <w:tr w:rsidR="00070294" w:rsidRPr="00F633F7" w:rsidTr="00070294">
        <w:trPr>
          <w:trHeight w:val="1020"/>
        </w:trPr>
        <w:tc>
          <w:tcPr>
            <w:tcW w:w="3680" w:type="dxa"/>
          </w:tcPr>
          <w:p w:rsidR="00070294" w:rsidRPr="00F633F7" w:rsidRDefault="00070294" w:rsidP="00F633F7">
            <w:pPr>
              <w:spacing w:after="200"/>
              <w:rPr>
                <w:rFonts w:cs="Arial"/>
                <w:color w:val="000000" w:themeColor="text1"/>
                <w:sz w:val="24"/>
                <w:szCs w:val="24"/>
              </w:rPr>
            </w:pPr>
            <w:r w:rsidRPr="00F633F7">
              <w:rPr>
                <w:rFonts w:cs="Arial"/>
                <w:color w:val="000000" w:themeColor="text1"/>
                <w:sz w:val="24"/>
                <w:szCs w:val="24"/>
              </w:rPr>
              <w:t>Geographical Areas to be covered</w:t>
            </w:r>
          </w:p>
        </w:tc>
        <w:tc>
          <w:tcPr>
            <w:tcW w:w="4394" w:type="dxa"/>
          </w:tcPr>
          <w:p w:rsidR="00070294" w:rsidRPr="00F633F7" w:rsidRDefault="00070294" w:rsidP="00F633F7">
            <w:pPr>
              <w:spacing w:after="200"/>
              <w:rPr>
                <w:rFonts w:cs="Arial"/>
                <w:color w:val="000000" w:themeColor="text1"/>
                <w:sz w:val="24"/>
                <w:szCs w:val="24"/>
              </w:rPr>
            </w:pPr>
            <w:r w:rsidRPr="00F633F7">
              <w:rPr>
                <w:rFonts w:cs="Arial"/>
                <w:sz w:val="24"/>
                <w:szCs w:val="24"/>
              </w:rPr>
              <w:t xml:space="preserve">Mainly the Gosport area, although whole of </w:t>
            </w:r>
            <w:r w:rsidR="00063166" w:rsidRPr="00F633F7">
              <w:rPr>
                <w:rFonts w:cs="Arial"/>
                <w:sz w:val="24"/>
                <w:szCs w:val="24"/>
              </w:rPr>
              <w:t>England and Wales to be covered.</w:t>
            </w:r>
          </w:p>
        </w:tc>
      </w:tr>
    </w:tbl>
    <w:p w:rsidR="00070294" w:rsidRPr="00F633F7" w:rsidRDefault="00070294" w:rsidP="00F633F7">
      <w:pPr>
        <w:spacing w:line="240" w:lineRule="auto"/>
        <w:rPr>
          <w:rFonts w:cs="Arial"/>
          <w:color w:val="000000" w:themeColor="text1"/>
          <w:sz w:val="24"/>
          <w:szCs w:val="24"/>
        </w:rPr>
      </w:pPr>
    </w:p>
    <w:p w:rsidR="00014BC7" w:rsidRDefault="00014BC7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070294" w:rsidRPr="00F633F7" w:rsidRDefault="00070294" w:rsidP="00F633F7">
      <w:pPr>
        <w:spacing w:line="240" w:lineRule="auto"/>
        <w:rPr>
          <w:rFonts w:cs="Arial"/>
          <w:b/>
          <w:sz w:val="28"/>
          <w:szCs w:val="28"/>
        </w:rPr>
      </w:pPr>
      <w:r w:rsidRPr="00F633F7">
        <w:rPr>
          <w:rFonts w:cs="Arial"/>
          <w:b/>
          <w:sz w:val="28"/>
          <w:szCs w:val="28"/>
        </w:rPr>
        <w:lastRenderedPageBreak/>
        <w:t>Background</w:t>
      </w:r>
    </w:p>
    <w:p w:rsidR="0045102D" w:rsidRPr="00F633F7" w:rsidRDefault="0045102D" w:rsidP="00F633F7">
      <w:pPr>
        <w:pStyle w:val="Default"/>
        <w:tabs>
          <w:tab w:val="num" w:pos="2160"/>
        </w:tabs>
        <w:jc w:val="both"/>
        <w:rPr>
          <w:rFonts w:asciiTheme="minorHAnsi" w:hAnsiTheme="minorHAnsi" w:cs="Arial"/>
          <w:color w:val="auto"/>
        </w:rPr>
      </w:pPr>
      <w:r w:rsidRPr="00F633F7">
        <w:rPr>
          <w:rFonts w:asciiTheme="minorHAnsi" w:hAnsiTheme="minorHAnsi" w:cs="Arial"/>
          <w:color w:val="auto"/>
        </w:rPr>
        <w:t xml:space="preserve">Gosport is </w:t>
      </w:r>
      <w:r w:rsidR="00E55272" w:rsidRPr="00F633F7">
        <w:rPr>
          <w:rFonts w:asciiTheme="minorHAnsi" w:hAnsiTheme="minorHAnsi" w:cs="Arial"/>
          <w:color w:val="auto"/>
        </w:rPr>
        <w:t>a mainly urban town in</w:t>
      </w:r>
      <w:r w:rsidR="007957FA" w:rsidRPr="00F633F7">
        <w:rPr>
          <w:rFonts w:asciiTheme="minorHAnsi" w:hAnsiTheme="minorHAnsi" w:cs="Arial"/>
          <w:color w:val="auto"/>
        </w:rPr>
        <w:t xml:space="preserve"> Hampshire with a po</w:t>
      </w:r>
      <w:r w:rsidR="00B929C2" w:rsidRPr="00F633F7">
        <w:rPr>
          <w:rFonts w:asciiTheme="minorHAnsi" w:hAnsiTheme="minorHAnsi" w:cs="Arial"/>
          <w:color w:val="auto"/>
        </w:rPr>
        <w:t>pulation of approximately 85,000</w:t>
      </w:r>
      <w:r w:rsidR="00E55272" w:rsidRPr="00F633F7">
        <w:rPr>
          <w:rFonts w:asciiTheme="minorHAnsi" w:hAnsiTheme="minorHAnsi" w:cs="Arial"/>
          <w:color w:val="auto"/>
        </w:rPr>
        <w:t>.</w:t>
      </w:r>
    </w:p>
    <w:p w:rsidR="00BD7D86" w:rsidRPr="00F633F7" w:rsidRDefault="00BD7D86" w:rsidP="00F633F7">
      <w:pPr>
        <w:pStyle w:val="Default"/>
        <w:tabs>
          <w:tab w:val="num" w:pos="2160"/>
        </w:tabs>
        <w:jc w:val="both"/>
        <w:rPr>
          <w:rFonts w:asciiTheme="minorHAnsi" w:hAnsiTheme="minorHAnsi" w:cs="Arial"/>
          <w:color w:val="auto"/>
        </w:rPr>
      </w:pPr>
    </w:p>
    <w:p w:rsidR="00BD7D86" w:rsidRPr="00F633F7" w:rsidRDefault="00BD7D86" w:rsidP="00F633F7">
      <w:pPr>
        <w:pStyle w:val="Default"/>
        <w:tabs>
          <w:tab w:val="num" w:pos="2160"/>
        </w:tabs>
        <w:jc w:val="both"/>
        <w:rPr>
          <w:rFonts w:asciiTheme="minorHAnsi" w:hAnsiTheme="minorHAnsi" w:cs="Arial"/>
          <w:color w:val="auto"/>
        </w:rPr>
      </w:pPr>
      <w:r w:rsidRPr="00F633F7">
        <w:rPr>
          <w:rFonts w:asciiTheme="minorHAnsi" w:hAnsiTheme="minorHAnsi" w:cs="Arial"/>
          <w:color w:val="auto"/>
        </w:rPr>
        <w:t xml:space="preserve">Gosport Borough Council </w:t>
      </w:r>
      <w:r w:rsidR="006C45AD">
        <w:rPr>
          <w:rFonts w:asciiTheme="minorHAnsi" w:hAnsiTheme="minorHAnsi" w:cs="Arial"/>
          <w:color w:val="auto"/>
        </w:rPr>
        <w:t xml:space="preserve">(GBC) </w:t>
      </w:r>
      <w:r w:rsidRPr="00F633F7">
        <w:rPr>
          <w:rFonts w:asciiTheme="minorHAnsi" w:hAnsiTheme="minorHAnsi" w:cs="Arial"/>
          <w:color w:val="auto"/>
        </w:rPr>
        <w:t>operates 25 off street pay and display car parks as well as managing and enforcing various residents and free car parks throughout the borough</w:t>
      </w:r>
      <w:r w:rsidR="00E55272" w:rsidRPr="00F633F7">
        <w:rPr>
          <w:rFonts w:asciiTheme="minorHAnsi" w:hAnsiTheme="minorHAnsi" w:cs="Arial"/>
          <w:color w:val="auto"/>
        </w:rPr>
        <w:t xml:space="preserve"> under the Civil Parking Enforcement </w:t>
      </w:r>
      <w:r w:rsidR="006418AC">
        <w:rPr>
          <w:rFonts w:asciiTheme="minorHAnsi" w:hAnsiTheme="minorHAnsi" w:cs="Arial"/>
          <w:color w:val="auto"/>
        </w:rPr>
        <w:t xml:space="preserve">(CPE) </w:t>
      </w:r>
      <w:r w:rsidR="00E55272" w:rsidRPr="00F633F7">
        <w:rPr>
          <w:rFonts w:asciiTheme="minorHAnsi" w:hAnsiTheme="minorHAnsi" w:cs="Arial"/>
          <w:color w:val="auto"/>
        </w:rPr>
        <w:t>procedure</w:t>
      </w:r>
      <w:r w:rsidR="00635F18" w:rsidRPr="00F633F7">
        <w:rPr>
          <w:rFonts w:asciiTheme="minorHAnsi" w:hAnsiTheme="minorHAnsi" w:cs="Arial"/>
          <w:color w:val="auto"/>
        </w:rPr>
        <w:t>.</w:t>
      </w:r>
    </w:p>
    <w:p w:rsidR="00E55272" w:rsidRPr="00F633F7" w:rsidRDefault="00E55272" w:rsidP="00F633F7">
      <w:pPr>
        <w:pStyle w:val="Default"/>
        <w:tabs>
          <w:tab w:val="num" w:pos="2160"/>
        </w:tabs>
        <w:jc w:val="both"/>
        <w:rPr>
          <w:rFonts w:asciiTheme="minorHAnsi" w:hAnsiTheme="minorHAnsi" w:cs="Arial"/>
          <w:color w:val="auto"/>
        </w:rPr>
      </w:pPr>
    </w:p>
    <w:p w:rsidR="00F02CB5" w:rsidRPr="00F633F7" w:rsidRDefault="00205023" w:rsidP="00F633F7">
      <w:pPr>
        <w:pStyle w:val="Default"/>
        <w:tabs>
          <w:tab w:val="num" w:pos="2160"/>
        </w:tabs>
        <w:jc w:val="both"/>
        <w:rPr>
          <w:rFonts w:asciiTheme="minorHAnsi" w:hAnsiTheme="minorHAnsi"/>
        </w:rPr>
      </w:pPr>
      <w:r w:rsidRPr="00F633F7">
        <w:rPr>
          <w:rFonts w:asciiTheme="minorHAnsi" w:hAnsiTheme="minorHAnsi" w:cs="Arial"/>
          <w:color w:val="auto"/>
        </w:rPr>
        <w:t>Estimating</w:t>
      </w:r>
      <w:r w:rsidR="00E55272" w:rsidRPr="00F633F7">
        <w:rPr>
          <w:rFonts w:asciiTheme="minorHAnsi" w:hAnsiTheme="minorHAnsi" w:cs="Arial"/>
          <w:color w:val="auto"/>
        </w:rPr>
        <w:t xml:space="preserve"> </w:t>
      </w:r>
      <w:r w:rsidR="00141784" w:rsidRPr="00F633F7">
        <w:rPr>
          <w:rFonts w:asciiTheme="minorHAnsi" w:hAnsiTheme="minorHAnsi" w:cs="Arial"/>
          <w:color w:val="auto"/>
        </w:rPr>
        <w:t xml:space="preserve">the anticipated </w:t>
      </w:r>
      <w:r w:rsidR="00E55272" w:rsidRPr="00F633F7">
        <w:rPr>
          <w:rFonts w:asciiTheme="minorHAnsi" w:hAnsiTheme="minorHAnsi" w:cs="Arial"/>
          <w:color w:val="auto"/>
        </w:rPr>
        <w:t xml:space="preserve">debt under CPE </w:t>
      </w:r>
      <w:r w:rsidRPr="00F633F7">
        <w:rPr>
          <w:rFonts w:asciiTheme="minorHAnsi" w:hAnsiTheme="minorHAnsi" w:cs="Arial"/>
          <w:color w:val="auto"/>
        </w:rPr>
        <w:t>is</w:t>
      </w:r>
      <w:r w:rsidR="00867F6C">
        <w:rPr>
          <w:rFonts w:asciiTheme="minorHAnsi" w:hAnsiTheme="minorHAnsi" w:cs="Arial"/>
          <w:color w:val="auto"/>
        </w:rPr>
        <w:t xml:space="preserve"> difficult due to Covid and a</w:t>
      </w:r>
      <w:r w:rsidR="00141784" w:rsidRPr="00F633F7">
        <w:rPr>
          <w:rFonts w:asciiTheme="minorHAnsi" w:hAnsiTheme="minorHAnsi" w:cs="Arial"/>
          <w:color w:val="auto"/>
        </w:rPr>
        <w:t xml:space="preserve"> recent change to CPE. But</w:t>
      </w:r>
      <w:r w:rsidRPr="00F633F7">
        <w:rPr>
          <w:rFonts w:asciiTheme="minorHAnsi" w:hAnsiTheme="minorHAnsi"/>
        </w:rPr>
        <w:t xml:space="preserve"> it is assumed the number</w:t>
      </w:r>
      <w:r w:rsidR="00200959" w:rsidRPr="00F633F7">
        <w:rPr>
          <w:rFonts w:asciiTheme="minorHAnsi" w:hAnsiTheme="minorHAnsi"/>
        </w:rPr>
        <w:t xml:space="preserve"> </w:t>
      </w:r>
      <w:r w:rsidR="00141784" w:rsidRPr="00F633F7">
        <w:rPr>
          <w:rFonts w:asciiTheme="minorHAnsi" w:hAnsiTheme="minorHAnsi"/>
        </w:rPr>
        <w:t xml:space="preserve">of </w:t>
      </w:r>
      <w:r w:rsidR="006418AC">
        <w:rPr>
          <w:rFonts w:asciiTheme="minorHAnsi" w:hAnsiTheme="minorHAnsi"/>
        </w:rPr>
        <w:t>Penalty Charge Notices (</w:t>
      </w:r>
      <w:r w:rsidRPr="00F633F7">
        <w:rPr>
          <w:rFonts w:asciiTheme="minorHAnsi" w:hAnsiTheme="minorHAnsi"/>
        </w:rPr>
        <w:t>PCNs</w:t>
      </w:r>
      <w:r w:rsidR="006418AC">
        <w:rPr>
          <w:rFonts w:asciiTheme="minorHAnsi" w:hAnsiTheme="minorHAnsi"/>
        </w:rPr>
        <w:t>)</w:t>
      </w:r>
      <w:r w:rsidRPr="00F633F7">
        <w:rPr>
          <w:rFonts w:asciiTheme="minorHAnsi" w:hAnsiTheme="minorHAnsi"/>
        </w:rPr>
        <w:t xml:space="preserve"> issued for a normal year will be</w:t>
      </w:r>
      <w:r w:rsidR="00141784" w:rsidRPr="00F633F7">
        <w:rPr>
          <w:rFonts w:asciiTheme="minorHAnsi" w:hAnsiTheme="minorHAnsi"/>
        </w:rPr>
        <w:t xml:space="preserve"> 500</w:t>
      </w:r>
      <w:r w:rsidR="00200959" w:rsidRPr="00F633F7">
        <w:rPr>
          <w:rFonts w:asciiTheme="minorHAnsi" w:hAnsiTheme="minorHAnsi"/>
        </w:rPr>
        <w:t>. Approximately</w:t>
      </w:r>
      <w:r w:rsidR="00E55272" w:rsidRPr="00F633F7">
        <w:rPr>
          <w:rFonts w:asciiTheme="minorHAnsi" w:hAnsiTheme="minorHAnsi"/>
        </w:rPr>
        <w:t xml:space="preserve"> 10% </w:t>
      </w:r>
      <w:r w:rsidR="00200959" w:rsidRPr="00F633F7">
        <w:rPr>
          <w:rFonts w:asciiTheme="minorHAnsi" w:hAnsiTheme="minorHAnsi"/>
        </w:rPr>
        <w:t xml:space="preserve">(50) are predicted to reach enforcement stage. </w:t>
      </w:r>
    </w:p>
    <w:p w:rsidR="00581A93" w:rsidRDefault="00581A93" w:rsidP="00F633F7">
      <w:pPr>
        <w:pStyle w:val="Default"/>
        <w:tabs>
          <w:tab w:val="num" w:pos="2160"/>
        </w:tabs>
        <w:jc w:val="both"/>
        <w:rPr>
          <w:rFonts w:asciiTheme="minorHAnsi" w:hAnsiTheme="minorHAnsi" w:cs="Arial"/>
          <w:color w:val="auto"/>
        </w:rPr>
      </w:pPr>
    </w:p>
    <w:p w:rsidR="006C45AD" w:rsidRPr="00F633F7" w:rsidRDefault="00581A93" w:rsidP="00F633F7">
      <w:pPr>
        <w:pStyle w:val="Default"/>
        <w:tabs>
          <w:tab w:val="num" w:pos="426"/>
        </w:tabs>
        <w:spacing w:before="120" w:after="120"/>
        <w:jc w:val="both"/>
        <w:rPr>
          <w:rFonts w:asciiTheme="minorHAnsi" w:hAnsiTheme="minorHAnsi" w:cs="Arial"/>
          <w:b/>
          <w:color w:val="auto"/>
          <w:sz w:val="28"/>
          <w:szCs w:val="28"/>
        </w:rPr>
      </w:pPr>
      <w:r w:rsidRPr="00F633F7">
        <w:rPr>
          <w:rFonts w:asciiTheme="minorHAnsi" w:hAnsiTheme="minorHAnsi" w:cs="Arial"/>
          <w:b/>
          <w:color w:val="auto"/>
          <w:sz w:val="28"/>
          <w:szCs w:val="28"/>
        </w:rPr>
        <w:t>Current Service Provision</w:t>
      </w:r>
    </w:p>
    <w:p w:rsidR="00D44042" w:rsidRPr="00F633F7" w:rsidRDefault="006C45AD" w:rsidP="00F633F7">
      <w:pPr>
        <w:pStyle w:val="Default"/>
        <w:numPr>
          <w:ilvl w:val="1"/>
          <w:numId w:val="4"/>
        </w:numPr>
        <w:tabs>
          <w:tab w:val="clear" w:pos="390"/>
          <w:tab w:val="num" w:pos="709"/>
        </w:tabs>
        <w:spacing w:before="120" w:after="120"/>
        <w:ind w:left="709" w:hanging="283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GBC</w:t>
      </w:r>
      <w:r w:rsidR="00067F7F" w:rsidRPr="00F633F7">
        <w:rPr>
          <w:rFonts w:asciiTheme="minorHAnsi" w:hAnsiTheme="minorHAnsi" w:cs="Arial"/>
          <w:color w:val="auto"/>
        </w:rPr>
        <w:t xml:space="preserve"> has no current </w:t>
      </w:r>
      <w:r w:rsidR="00421614" w:rsidRPr="00F633F7">
        <w:rPr>
          <w:rFonts w:asciiTheme="minorHAnsi" w:hAnsiTheme="minorHAnsi" w:cs="Arial"/>
          <w:color w:val="auto"/>
        </w:rPr>
        <w:t xml:space="preserve">Enforcement Agent </w:t>
      </w:r>
      <w:r w:rsidR="00067F7F" w:rsidRPr="00F633F7">
        <w:rPr>
          <w:rFonts w:asciiTheme="minorHAnsi" w:hAnsiTheme="minorHAnsi" w:cs="Arial"/>
          <w:color w:val="auto"/>
        </w:rPr>
        <w:t>service provision</w:t>
      </w:r>
      <w:r w:rsidR="006418AC">
        <w:rPr>
          <w:rFonts w:asciiTheme="minorHAnsi" w:hAnsiTheme="minorHAnsi" w:cs="Arial"/>
          <w:color w:val="auto"/>
        </w:rPr>
        <w:t xml:space="preserve"> for PCN enforcement</w:t>
      </w:r>
      <w:r w:rsidR="00067F7F" w:rsidRPr="00F633F7">
        <w:rPr>
          <w:rFonts w:asciiTheme="minorHAnsi" w:hAnsiTheme="minorHAnsi" w:cs="Arial"/>
          <w:color w:val="auto"/>
        </w:rPr>
        <w:t>.  Previously, unpaid P</w:t>
      </w:r>
      <w:r w:rsidR="003A4DCF" w:rsidRPr="00F633F7">
        <w:rPr>
          <w:rFonts w:asciiTheme="minorHAnsi" w:hAnsiTheme="minorHAnsi" w:cs="Arial"/>
          <w:color w:val="auto"/>
        </w:rPr>
        <w:t>arking Charge Notices</w:t>
      </w:r>
      <w:r w:rsidR="00067F7F" w:rsidRPr="00F633F7">
        <w:rPr>
          <w:rFonts w:asciiTheme="minorHAnsi" w:hAnsiTheme="minorHAnsi" w:cs="Arial"/>
          <w:color w:val="auto"/>
        </w:rPr>
        <w:t xml:space="preserve"> were dealt with under the Road Traffic Regulation Act 1984 through the Magistrates Court.  Gosport </w:t>
      </w:r>
      <w:r w:rsidR="00D44042" w:rsidRPr="00F633F7">
        <w:rPr>
          <w:rFonts w:asciiTheme="minorHAnsi" w:hAnsiTheme="minorHAnsi" w:cs="Arial"/>
          <w:color w:val="auto"/>
        </w:rPr>
        <w:t>was</w:t>
      </w:r>
      <w:r w:rsidR="00067F7F" w:rsidRPr="00F633F7">
        <w:rPr>
          <w:rFonts w:asciiTheme="minorHAnsi" w:hAnsiTheme="minorHAnsi" w:cs="Arial"/>
          <w:color w:val="auto"/>
        </w:rPr>
        <w:t xml:space="preserve"> decriminalised </w:t>
      </w:r>
      <w:r w:rsidR="00D44042" w:rsidRPr="00F633F7">
        <w:rPr>
          <w:rFonts w:asciiTheme="minorHAnsi" w:hAnsiTheme="minorHAnsi" w:cs="Arial"/>
          <w:color w:val="auto"/>
        </w:rPr>
        <w:t>on 29</w:t>
      </w:r>
      <w:r w:rsidR="00D44042" w:rsidRPr="00F633F7">
        <w:rPr>
          <w:rFonts w:asciiTheme="minorHAnsi" w:hAnsiTheme="minorHAnsi" w:cs="Arial"/>
          <w:color w:val="auto"/>
          <w:vertAlign w:val="superscript"/>
        </w:rPr>
        <w:t>th</w:t>
      </w:r>
      <w:r w:rsidR="00D44042" w:rsidRPr="00F633F7">
        <w:rPr>
          <w:rFonts w:asciiTheme="minorHAnsi" w:hAnsiTheme="minorHAnsi" w:cs="Arial"/>
          <w:color w:val="auto"/>
        </w:rPr>
        <w:t xml:space="preserve"> September 2020 </w:t>
      </w:r>
      <w:r w:rsidR="00067F7F" w:rsidRPr="00F633F7">
        <w:rPr>
          <w:rFonts w:asciiTheme="minorHAnsi" w:hAnsiTheme="minorHAnsi" w:cs="Arial"/>
          <w:color w:val="auto"/>
        </w:rPr>
        <w:t xml:space="preserve">and the car parks are </w:t>
      </w:r>
      <w:r w:rsidR="00D44042" w:rsidRPr="00F633F7">
        <w:rPr>
          <w:rFonts w:asciiTheme="minorHAnsi" w:hAnsiTheme="minorHAnsi" w:cs="Arial"/>
          <w:color w:val="auto"/>
        </w:rPr>
        <w:t xml:space="preserve">now </w:t>
      </w:r>
      <w:r w:rsidR="00067F7F" w:rsidRPr="00F633F7">
        <w:rPr>
          <w:rFonts w:asciiTheme="minorHAnsi" w:hAnsiTheme="minorHAnsi" w:cs="Arial"/>
          <w:color w:val="auto"/>
        </w:rPr>
        <w:t>enforced through th</w:t>
      </w:r>
      <w:r w:rsidR="00D44042" w:rsidRPr="00F633F7">
        <w:rPr>
          <w:rFonts w:asciiTheme="minorHAnsi" w:hAnsiTheme="minorHAnsi" w:cs="Arial"/>
          <w:color w:val="auto"/>
        </w:rPr>
        <w:t>e Traffic Management Act 2004 hence the requirement for Enforcement Agents</w:t>
      </w:r>
      <w:r w:rsidR="003A4DCF" w:rsidRPr="00F633F7">
        <w:rPr>
          <w:rFonts w:asciiTheme="minorHAnsi" w:hAnsiTheme="minorHAnsi" w:cs="Arial"/>
          <w:color w:val="auto"/>
        </w:rPr>
        <w:t>.</w:t>
      </w:r>
    </w:p>
    <w:p w:rsidR="00205023" w:rsidRPr="00F633F7" w:rsidRDefault="006C45AD" w:rsidP="00F633F7">
      <w:pPr>
        <w:pStyle w:val="Default"/>
        <w:numPr>
          <w:ilvl w:val="1"/>
          <w:numId w:val="4"/>
        </w:numPr>
        <w:tabs>
          <w:tab w:val="clear" w:pos="390"/>
          <w:tab w:val="num" w:pos="709"/>
        </w:tabs>
        <w:spacing w:before="120" w:after="120"/>
        <w:ind w:left="709" w:hanging="283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GBC</w:t>
      </w:r>
      <w:r w:rsidR="00D44042" w:rsidRPr="00F633F7">
        <w:rPr>
          <w:rFonts w:asciiTheme="minorHAnsi" w:hAnsiTheme="minorHAnsi" w:cs="Arial"/>
          <w:color w:val="auto"/>
        </w:rPr>
        <w:t xml:space="preserve"> </w:t>
      </w:r>
      <w:r w:rsidR="003A4DCF" w:rsidRPr="00F633F7">
        <w:rPr>
          <w:rFonts w:asciiTheme="minorHAnsi" w:hAnsiTheme="minorHAnsi" w:cs="Arial"/>
          <w:color w:val="auto"/>
        </w:rPr>
        <w:t xml:space="preserve">currently </w:t>
      </w:r>
      <w:r w:rsidR="00D44042" w:rsidRPr="00F633F7">
        <w:rPr>
          <w:rFonts w:asciiTheme="minorHAnsi" w:hAnsiTheme="minorHAnsi" w:cs="Arial"/>
          <w:color w:val="auto"/>
        </w:rPr>
        <w:t>use</w:t>
      </w:r>
      <w:r>
        <w:rPr>
          <w:rFonts w:asciiTheme="minorHAnsi" w:hAnsiTheme="minorHAnsi" w:cs="Arial"/>
          <w:color w:val="auto"/>
        </w:rPr>
        <w:t>s</w:t>
      </w:r>
      <w:r w:rsidR="00D44042" w:rsidRPr="00F633F7">
        <w:rPr>
          <w:rFonts w:asciiTheme="minorHAnsi" w:hAnsiTheme="minorHAnsi" w:cs="Arial"/>
          <w:color w:val="auto"/>
        </w:rPr>
        <w:t xml:space="preserve"> Chipside</w:t>
      </w:r>
      <w:r>
        <w:rPr>
          <w:rFonts w:asciiTheme="minorHAnsi" w:hAnsiTheme="minorHAnsi" w:cs="Arial"/>
          <w:color w:val="auto"/>
        </w:rPr>
        <w:t xml:space="preserve"> Ltd</w:t>
      </w:r>
      <w:r w:rsidR="00D44042" w:rsidRPr="00F633F7">
        <w:rPr>
          <w:rFonts w:asciiTheme="minorHAnsi" w:hAnsiTheme="minorHAnsi" w:cs="Arial"/>
          <w:color w:val="auto"/>
        </w:rPr>
        <w:t xml:space="preserve"> for the processing of Penalty Charge Notices</w:t>
      </w:r>
      <w:r w:rsidR="006F42A2" w:rsidRPr="00F633F7">
        <w:rPr>
          <w:rFonts w:asciiTheme="minorHAnsi" w:hAnsiTheme="minorHAnsi" w:cs="Arial"/>
          <w:color w:val="auto"/>
        </w:rPr>
        <w:t>.</w:t>
      </w:r>
    </w:p>
    <w:p w:rsidR="00205023" w:rsidRPr="00F633F7" w:rsidRDefault="00205023" w:rsidP="00F633F7">
      <w:pPr>
        <w:pStyle w:val="Default"/>
        <w:spacing w:before="120" w:after="120"/>
        <w:jc w:val="both"/>
        <w:rPr>
          <w:rFonts w:asciiTheme="minorHAnsi" w:hAnsiTheme="minorHAnsi" w:cs="Arial"/>
          <w:color w:val="auto"/>
        </w:rPr>
      </w:pPr>
    </w:p>
    <w:p w:rsidR="00205023" w:rsidRPr="00F633F7" w:rsidRDefault="00205023" w:rsidP="00F633F7">
      <w:pPr>
        <w:pStyle w:val="Default"/>
        <w:spacing w:before="120" w:after="120"/>
        <w:jc w:val="both"/>
        <w:rPr>
          <w:rFonts w:asciiTheme="minorHAnsi" w:hAnsiTheme="minorHAnsi" w:cs="Arial"/>
          <w:b/>
          <w:color w:val="auto"/>
        </w:rPr>
      </w:pPr>
      <w:r w:rsidRPr="00F633F7">
        <w:rPr>
          <w:rFonts w:asciiTheme="minorHAnsi" w:hAnsiTheme="minorHAnsi" w:cs="Arial"/>
          <w:color w:val="auto"/>
        </w:rPr>
        <w:t xml:space="preserve">The total amount of debt sent to Portsmouth Magistrates Court over the last 4 financial years (based on PCN issue date) is shown in the table(s) below:-  </w:t>
      </w:r>
    </w:p>
    <w:p w:rsidR="00205023" w:rsidRPr="00F633F7" w:rsidRDefault="00205023" w:rsidP="00F633F7">
      <w:pPr>
        <w:pStyle w:val="Default"/>
        <w:spacing w:before="120" w:after="120"/>
        <w:jc w:val="both"/>
        <w:rPr>
          <w:rFonts w:asciiTheme="minorHAnsi" w:hAnsiTheme="minorHAnsi" w:cs="Arial"/>
          <w:color w:val="auto"/>
        </w:rPr>
      </w:pPr>
    </w:p>
    <w:tbl>
      <w:tblPr>
        <w:tblStyle w:val="TableGrid"/>
        <w:tblW w:w="921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410"/>
        <w:gridCol w:w="3544"/>
        <w:gridCol w:w="3260"/>
      </w:tblGrid>
      <w:tr w:rsidR="00205023" w:rsidRPr="00F633F7" w:rsidTr="00152C4E">
        <w:tc>
          <w:tcPr>
            <w:tcW w:w="2410" w:type="dxa"/>
            <w:shd w:val="clear" w:color="auto" w:fill="auto"/>
          </w:tcPr>
          <w:p w:rsidR="00205023" w:rsidRPr="00F633F7" w:rsidRDefault="00205023" w:rsidP="00F633F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F633F7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Financial Year commencing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205023" w:rsidRPr="00F633F7" w:rsidRDefault="00205023" w:rsidP="00F633F7">
            <w:pPr>
              <w:spacing w:before="120" w:after="120"/>
              <w:jc w:val="center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F633F7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No. of Parking Charge Notices  Cases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5023" w:rsidRPr="00F633F7" w:rsidRDefault="00205023" w:rsidP="00F633F7">
            <w:pPr>
              <w:spacing w:before="120" w:after="120"/>
              <w:jc w:val="center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F633F7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205023" w:rsidRPr="00F633F7" w:rsidTr="00152C4E">
        <w:tc>
          <w:tcPr>
            <w:tcW w:w="2410" w:type="dxa"/>
            <w:vAlign w:val="center"/>
          </w:tcPr>
          <w:p w:rsidR="00205023" w:rsidRPr="00F633F7" w:rsidRDefault="00205023" w:rsidP="00F633F7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F633F7">
              <w:rPr>
                <w:rFonts w:cs="Arial"/>
                <w:sz w:val="24"/>
                <w:szCs w:val="24"/>
              </w:rPr>
              <w:t>2020/21</w:t>
            </w:r>
          </w:p>
        </w:tc>
        <w:tc>
          <w:tcPr>
            <w:tcW w:w="3544" w:type="dxa"/>
            <w:vAlign w:val="center"/>
          </w:tcPr>
          <w:p w:rsidR="00205023" w:rsidRPr="00F633F7" w:rsidRDefault="00205023" w:rsidP="00F633F7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F633F7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205023" w:rsidRPr="00F633F7" w:rsidRDefault="00205023" w:rsidP="00F633F7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F633F7">
              <w:rPr>
                <w:rFonts w:cs="Arial"/>
                <w:sz w:val="24"/>
                <w:szCs w:val="24"/>
              </w:rPr>
              <w:t>£490</w:t>
            </w:r>
          </w:p>
        </w:tc>
      </w:tr>
      <w:tr w:rsidR="00205023" w:rsidRPr="00F633F7" w:rsidTr="00152C4E">
        <w:tc>
          <w:tcPr>
            <w:tcW w:w="2410" w:type="dxa"/>
            <w:vAlign w:val="center"/>
          </w:tcPr>
          <w:p w:rsidR="00205023" w:rsidRPr="00F633F7" w:rsidRDefault="00205023" w:rsidP="00F633F7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F633F7">
              <w:rPr>
                <w:rFonts w:cs="Arial"/>
                <w:sz w:val="24"/>
                <w:szCs w:val="24"/>
              </w:rPr>
              <w:t>2019/20</w:t>
            </w:r>
          </w:p>
        </w:tc>
        <w:tc>
          <w:tcPr>
            <w:tcW w:w="3544" w:type="dxa"/>
            <w:vAlign w:val="center"/>
          </w:tcPr>
          <w:p w:rsidR="00205023" w:rsidRPr="00F633F7" w:rsidRDefault="00205023" w:rsidP="00F633F7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F633F7">
              <w:rPr>
                <w:rFonts w:cs="Arial"/>
                <w:sz w:val="24"/>
                <w:szCs w:val="24"/>
              </w:rPr>
              <w:t>79</w:t>
            </w:r>
          </w:p>
        </w:tc>
        <w:tc>
          <w:tcPr>
            <w:tcW w:w="3260" w:type="dxa"/>
            <w:vAlign w:val="center"/>
          </w:tcPr>
          <w:p w:rsidR="00205023" w:rsidRPr="00F633F7" w:rsidRDefault="00205023" w:rsidP="00F633F7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F633F7">
              <w:rPr>
                <w:rFonts w:cs="Arial"/>
                <w:sz w:val="24"/>
                <w:szCs w:val="24"/>
              </w:rPr>
              <w:t>£5530</w:t>
            </w:r>
          </w:p>
        </w:tc>
      </w:tr>
      <w:tr w:rsidR="00205023" w:rsidRPr="00F633F7" w:rsidTr="00152C4E">
        <w:tc>
          <w:tcPr>
            <w:tcW w:w="2410" w:type="dxa"/>
            <w:vAlign w:val="center"/>
          </w:tcPr>
          <w:p w:rsidR="00205023" w:rsidRPr="00F633F7" w:rsidRDefault="00205023" w:rsidP="00F633F7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F633F7">
              <w:rPr>
                <w:rFonts w:cs="Arial"/>
                <w:sz w:val="24"/>
                <w:szCs w:val="24"/>
              </w:rPr>
              <w:t>2018/19</w:t>
            </w:r>
          </w:p>
        </w:tc>
        <w:tc>
          <w:tcPr>
            <w:tcW w:w="3544" w:type="dxa"/>
            <w:vAlign w:val="center"/>
          </w:tcPr>
          <w:p w:rsidR="00205023" w:rsidRPr="00F633F7" w:rsidRDefault="00205023" w:rsidP="00F633F7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F633F7">
              <w:rPr>
                <w:rFonts w:cs="Arial"/>
                <w:sz w:val="24"/>
                <w:szCs w:val="24"/>
              </w:rPr>
              <w:t>109</w:t>
            </w:r>
          </w:p>
        </w:tc>
        <w:tc>
          <w:tcPr>
            <w:tcW w:w="3260" w:type="dxa"/>
            <w:vAlign w:val="center"/>
          </w:tcPr>
          <w:p w:rsidR="00205023" w:rsidRPr="00F633F7" w:rsidRDefault="00205023" w:rsidP="00F633F7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F633F7">
              <w:rPr>
                <w:rFonts w:cs="Arial"/>
                <w:sz w:val="24"/>
                <w:szCs w:val="24"/>
              </w:rPr>
              <w:t>£7290</w:t>
            </w:r>
          </w:p>
        </w:tc>
      </w:tr>
      <w:tr w:rsidR="00205023" w:rsidRPr="00F633F7" w:rsidTr="00152C4E">
        <w:tc>
          <w:tcPr>
            <w:tcW w:w="2410" w:type="dxa"/>
            <w:vAlign w:val="center"/>
          </w:tcPr>
          <w:p w:rsidR="00205023" w:rsidRPr="00F633F7" w:rsidRDefault="00205023" w:rsidP="00F633F7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F633F7">
              <w:rPr>
                <w:rFonts w:cs="Arial"/>
                <w:sz w:val="24"/>
                <w:szCs w:val="24"/>
              </w:rPr>
              <w:t>2017/18</w:t>
            </w:r>
          </w:p>
        </w:tc>
        <w:tc>
          <w:tcPr>
            <w:tcW w:w="3544" w:type="dxa"/>
            <w:vAlign w:val="center"/>
          </w:tcPr>
          <w:p w:rsidR="00205023" w:rsidRPr="00F633F7" w:rsidRDefault="00205023" w:rsidP="00F633F7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F633F7">
              <w:rPr>
                <w:rFonts w:cs="Arial"/>
                <w:sz w:val="24"/>
                <w:szCs w:val="24"/>
              </w:rPr>
              <w:t>92</w:t>
            </w:r>
          </w:p>
        </w:tc>
        <w:tc>
          <w:tcPr>
            <w:tcW w:w="3260" w:type="dxa"/>
            <w:vAlign w:val="center"/>
          </w:tcPr>
          <w:p w:rsidR="00205023" w:rsidRPr="00F633F7" w:rsidRDefault="00205023" w:rsidP="00F633F7">
            <w:pPr>
              <w:spacing w:before="120" w:after="12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F633F7">
              <w:rPr>
                <w:rFonts w:cs="Arial"/>
                <w:color w:val="000000"/>
                <w:sz w:val="24"/>
                <w:szCs w:val="24"/>
              </w:rPr>
              <w:t>£5980</w:t>
            </w:r>
          </w:p>
        </w:tc>
      </w:tr>
    </w:tbl>
    <w:p w:rsidR="00205023" w:rsidRPr="00F633F7" w:rsidRDefault="00205023" w:rsidP="00F633F7">
      <w:pPr>
        <w:pStyle w:val="Default"/>
        <w:spacing w:before="120" w:after="120"/>
        <w:jc w:val="both"/>
        <w:rPr>
          <w:rFonts w:asciiTheme="minorHAnsi" w:hAnsiTheme="minorHAnsi" w:cs="Arial"/>
          <w:color w:val="auto"/>
        </w:rPr>
      </w:pPr>
    </w:p>
    <w:p w:rsidR="00D44042" w:rsidRPr="00F633F7" w:rsidRDefault="00D44042" w:rsidP="00F633F7">
      <w:pPr>
        <w:pStyle w:val="Default"/>
        <w:spacing w:before="120" w:after="120"/>
        <w:jc w:val="both"/>
        <w:rPr>
          <w:rFonts w:asciiTheme="minorHAnsi" w:hAnsiTheme="minorHAnsi" w:cs="Arial"/>
          <w:color w:val="auto"/>
        </w:rPr>
      </w:pPr>
    </w:p>
    <w:p w:rsidR="00014BC7" w:rsidRDefault="00014BC7">
      <w:pPr>
        <w:rPr>
          <w:rFonts w:eastAsia="Times New Roman" w:cs="Arial"/>
          <w:b/>
          <w:sz w:val="28"/>
          <w:szCs w:val="28"/>
          <w:lang w:eastAsia="en-GB"/>
        </w:rPr>
      </w:pPr>
      <w:r>
        <w:rPr>
          <w:rFonts w:cs="Arial"/>
          <w:b/>
          <w:sz w:val="28"/>
          <w:szCs w:val="28"/>
        </w:rPr>
        <w:br w:type="page"/>
      </w:r>
    </w:p>
    <w:p w:rsidR="006C45AD" w:rsidRDefault="00BD7D86" w:rsidP="00F633F7">
      <w:pPr>
        <w:pStyle w:val="Default"/>
        <w:spacing w:before="120" w:after="120"/>
        <w:jc w:val="both"/>
        <w:rPr>
          <w:rFonts w:asciiTheme="minorHAnsi" w:hAnsiTheme="minorHAnsi" w:cs="Arial"/>
          <w:color w:val="auto"/>
        </w:rPr>
      </w:pPr>
      <w:r w:rsidRPr="00F633F7">
        <w:rPr>
          <w:rFonts w:asciiTheme="minorHAnsi" w:hAnsiTheme="minorHAnsi" w:cs="Arial"/>
          <w:b/>
          <w:color w:val="auto"/>
          <w:sz w:val="28"/>
          <w:szCs w:val="28"/>
        </w:rPr>
        <w:lastRenderedPageBreak/>
        <w:t>New Service Requirements</w:t>
      </w:r>
    </w:p>
    <w:p w:rsidR="00F633F7" w:rsidRPr="006C45AD" w:rsidRDefault="006C45AD" w:rsidP="00F633F7">
      <w:pPr>
        <w:pStyle w:val="Default"/>
        <w:numPr>
          <w:ilvl w:val="1"/>
          <w:numId w:val="4"/>
        </w:numPr>
        <w:tabs>
          <w:tab w:val="clear" w:pos="390"/>
          <w:tab w:val="num" w:pos="709"/>
        </w:tabs>
        <w:spacing w:before="120" w:after="120"/>
        <w:ind w:left="709" w:hanging="283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GBC</w:t>
      </w:r>
      <w:r w:rsidR="00F633F7" w:rsidRPr="006C45AD">
        <w:rPr>
          <w:rFonts w:asciiTheme="minorHAnsi" w:hAnsiTheme="minorHAnsi" w:cs="Arial"/>
        </w:rPr>
        <w:t xml:space="preserve"> require</w:t>
      </w:r>
      <w:r>
        <w:rPr>
          <w:rFonts w:asciiTheme="minorHAnsi" w:hAnsiTheme="minorHAnsi" w:cs="Arial"/>
        </w:rPr>
        <w:t>s</w:t>
      </w:r>
      <w:r w:rsidR="00F633F7" w:rsidRPr="006C45AD">
        <w:rPr>
          <w:rFonts w:asciiTheme="minorHAnsi" w:hAnsiTheme="minorHAnsi" w:cs="Arial"/>
        </w:rPr>
        <w:t xml:space="preserve"> the collection of debts resulting from unpaid Penalty Charge Notices i</w:t>
      </w:r>
      <w:r>
        <w:rPr>
          <w:rFonts w:asciiTheme="minorHAnsi" w:hAnsiTheme="minorHAnsi" w:cs="Arial"/>
        </w:rPr>
        <w:t>ssued in</w:t>
      </w:r>
      <w:r w:rsidR="00F633F7" w:rsidRPr="006C45AD">
        <w:rPr>
          <w:rFonts w:asciiTheme="minorHAnsi" w:hAnsiTheme="minorHAnsi" w:cs="Arial"/>
        </w:rPr>
        <w:t xml:space="preserve"> off-street car parks. </w:t>
      </w:r>
    </w:p>
    <w:p w:rsidR="00D44042" w:rsidRPr="00F633F7" w:rsidRDefault="006C45AD" w:rsidP="00F633F7">
      <w:pPr>
        <w:pStyle w:val="Default"/>
        <w:numPr>
          <w:ilvl w:val="1"/>
          <w:numId w:val="4"/>
        </w:numPr>
        <w:tabs>
          <w:tab w:val="clear" w:pos="390"/>
          <w:tab w:val="num" w:pos="709"/>
        </w:tabs>
        <w:spacing w:before="120" w:after="120"/>
        <w:ind w:left="709" w:hanging="283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GBC</w:t>
      </w:r>
      <w:r w:rsidR="00D44042" w:rsidRPr="00F633F7">
        <w:rPr>
          <w:rFonts w:asciiTheme="minorHAnsi" w:hAnsiTheme="minorHAnsi" w:cs="Arial"/>
          <w:color w:val="auto"/>
        </w:rPr>
        <w:t xml:space="preserve"> will be awarding the contract to one provider.</w:t>
      </w:r>
    </w:p>
    <w:p w:rsidR="00BD7D86" w:rsidRPr="00F633F7" w:rsidRDefault="00D44042" w:rsidP="00F633F7">
      <w:pPr>
        <w:pStyle w:val="Default"/>
        <w:numPr>
          <w:ilvl w:val="1"/>
          <w:numId w:val="4"/>
        </w:numPr>
        <w:tabs>
          <w:tab w:val="clear" w:pos="390"/>
          <w:tab w:val="num" w:pos="709"/>
        </w:tabs>
        <w:spacing w:before="120" w:after="120"/>
        <w:ind w:left="709" w:hanging="283"/>
        <w:jc w:val="both"/>
        <w:rPr>
          <w:rFonts w:asciiTheme="minorHAnsi" w:hAnsiTheme="minorHAnsi" w:cs="Arial"/>
          <w:color w:val="auto"/>
        </w:rPr>
      </w:pPr>
      <w:r w:rsidRPr="00F633F7">
        <w:rPr>
          <w:rFonts w:asciiTheme="minorHAnsi" w:hAnsiTheme="minorHAnsi" w:cs="Arial"/>
          <w:color w:val="auto"/>
        </w:rPr>
        <w:t xml:space="preserve"> </w:t>
      </w:r>
      <w:r w:rsidR="00BD7D86" w:rsidRPr="00F633F7">
        <w:rPr>
          <w:rFonts w:asciiTheme="minorHAnsi" w:hAnsiTheme="minorHAnsi" w:cs="Arial"/>
          <w:color w:val="auto"/>
        </w:rPr>
        <w:t>Term/length of the agreement</w:t>
      </w:r>
      <w:r w:rsidRPr="00F633F7">
        <w:rPr>
          <w:rFonts w:asciiTheme="minorHAnsi" w:hAnsiTheme="minorHAnsi" w:cs="Arial"/>
          <w:color w:val="auto"/>
        </w:rPr>
        <w:t xml:space="preserve"> will be for </w:t>
      </w:r>
      <w:r w:rsidR="00FE7385" w:rsidRPr="00F633F7">
        <w:rPr>
          <w:rFonts w:asciiTheme="minorHAnsi" w:hAnsiTheme="minorHAnsi" w:cs="Arial"/>
          <w:color w:val="auto"/>
        </w:rPr>
        <w:t>two</w:t>
      </w:r>
      <w:r w:rsidRPr="00F633F7">
        <w:rPr>
          <w:rFonts w:asciiTheme="minorHAnsi" w:hAnsiTheme="minorHAnsi" w:cs="Arial"/>
          <w:color w:val="auto"/>
        </w:rPr>
        <w:t xml:space="preserve"> years</w:t>
      </w:r>
      <w:r w:rsidR="00BD7D86" w:rsidRPr="00F633F7">
        <w:rPr>
          <w:rFonts w:asciiTheme="minorHAnsi" w:hAnsiTheme="minorHAnsi" w:cs="Arial"/>
          <w:color w:val="auto"/>
        </w:rPr>
        <w:t xml:space="preserve"> and exte</w:t>
      </w:r>
      <w:r w:rsidR="006C45AD">
        <w:rPr>
          <w:rFonts w:asciiTheme="minorHAnsi" w:hAnsiTheme="minorHAnsi" w:cs="Arial"/>
          <w:color w:val="auto"/>
        </w:rPr>
        <w:t>nsion opportunities</w:t>
      </w:r>
      <w:r w:rsidRPr="00F633F7">
        <w:rPr>
          <w:rFonts w:asciiTheme="minorHAnsi" w:hAnsiTheme="minorHAnsi" w:cs="Arial"/>
          <w:color w:val="auto"/>
        </w:rPr>
        <w:t xml:space="preserve"> </w:t>
      </w:r>
      <w:r w:rsidR="00FE7385" w:rsidRPr="00F633F7">
        <w:rPr>
          <w:rFonts w:asciiTheme="minorHAnsi" w:hAnsiTheme="minorHAnsi" w:cs="Arial"/>
          <w:color w:val="auto"/>
        </w:rPr>
        <w:t>of two addition</w:t>
      </w:r>
      <w:r w:rsidR="006C45AD">
        <w:rPr>
          <w:rFonts w:asciiTheme="minorHAnsi" w:hAnsiTheme="minorHAnsi" w:cs="Arial"/>
          <w:color w:val="auto"/>
        </w:rPr>
        <w:t>al</w:t>
      </w:r>
      <w:r w:rsidR="00FE7385" w:rsidRPr="00F633F7">
        <w:rPr>
          <w:rFonts w:asciiTheme="minorHAnsi" w:hAnsiTheme="minorHAnsi" w:cs="Arial"/>
          <w:color w:val="auto"/>
        </w:rPr>
        <w:t>, individual years wil</w:t>
      </w:r>
      <w:r w:rsidR="003237CC" w:rsidRPr="00F633F7">
        <w:rPr>
          <w:rFonts w:asciiTheme="minorHAnsi" w:hAnsiTheme="minorHAnsi" w:cs="Arial"/>
          <w:color w:val="auto"/>
        </w:rPr>
        <w:t>l be a decision</w:t>
      </w:r>
      <w:r w:rsidR="00152C4E" w:rsidRPr="00F633F7">
        <w:rPr>
          <w:rFonts w:asciiTheme="minorHAnsi" w:hAnsiTheme="minorHAnsi" w:cs="Arial"/>
          <w:color w:val="auto"/>
        </w:rPr>
        <w:t xml:space="preserve"> of both parties.</w:t>
      </w:r>
    </w:p>
    <w:p w:rsidR="00D44042" w:rsidRDefault="00D44042" w:rsidP="00F633F7">
      <w:pPr>
        <w:pStyle w:val="Default"/>
        <w:spacing w:before="120" w:after="120"/>
        <w:ind w:left="390"/>
        <w:jc w:val="both"/>
        <w:rPr>
          <w:rFonts w:asciiTheme="minorHAnsi" w:hAnsiTheme="minorHAnsi" w:cs="Arial"/>
          <w:color w:val="auto"/>
        </w:rPr>
      </w:pPr>
    </w:p>
    <w:p w:rsidR="006C45AD" w:rsidRPr="00F633F7" w:rsidRDefault="00BD7D86" w:rsidP="00F633F7">
      <w:pPr>
        <w:pStyle w:val="Default"/>
        <w:spacing w:before="120" w:after="120"/>
        <w:jc w:val="both"/>
        <w:rPr>
          <w:rFonts w:asciiTheme="minorHAnsi" w:hAnsiTheme="minorHAnsi" w:cs="Arial"/>
          <w:color w:val="auto"/>
        </w:rPr>
      </w:pPr>
      <w:r w:rsidRPr="00F633F7">
        <w:rPr>
          <w:rFonts w:asciiTheme="minorHAnsi" w:hAnsiTheme="minorHAnsi" w:cs="Arial"/>
          <w:b/>
          <w:color w:val="auto"/>
          <w:sz w:val="28"/>
          <w:szCs w:val="28"/>
        </w:rPr>
        <w:t>Service Specification</w:t>
      </w:r>
    </w:p>
    <w:p w:rsidR="006418AC" w:rsidRDefault="006C45AD" w:rsidP="006418AC">
      <w:pPr>
        <w:pStyle w:val="Default"/>
        <w:spacing w:before="120" w:after="120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Y</w:t>
      </w:r>
      <w:r w:rsidR="00FE7385" w:rsidRPr="00F633F7">
        <w:rPr>
          <w:rFonts w:asciiTheme="minorHAnsi" w:hAnsiTheme="minorHAnsi" w:cs="Arial"/>
          <w:color w:val="auto"/>
        </w:rPr>
        <w:t xml:space="preserve">ou are required to </w:t>
      </w:r>
      <w:r w:rsidR="006418AC">
        <w:rPr>
          <w:rFonts w:asciiTheme="minorHAnsi" w:hAnsiTheme="minorHAnsi" w:cs="Arial"/>
          <w:color w:val="auto"/>
        </w:rPr>
        <w:t>provide method statement</w:t>
      </w:r>
      <w:r w:rsidR="00867F6C">
        <w:rPr>
          <w:rFonts w:asciiTheme="minorHAnsi" w:hAnsiTheme="minorHAnsi" w:cs="Arial"/>
          <w:color w:val="auto"/>
        </w:rPr>
        <w:t xml:space="preserve"> and evidence</w:t>
      </w:r>
      <w:r>
        <w:rPr>
          <w:rFonts w:asciiTheme="minorHAnsi" w:hAnsiTheme="minorHAnsi" w:cs="Arial"/>
          <w:color w:val="auto"/>
        </w:rPr>
        <w:t xml:space="preserve"> for assessment on each of the following areas:</w:t>
      </w:r>
    </w:p>
    <w:p w:rsidR="006418AC" w:rsidRDefault="006418AC" w:rsidP="006418AC">
      <w:pPr>
        <w:pStyle w:val="Default"/>
        <w:spacing w:before="120" w:after="120"/>
        <w:jc w:val="both"/>
        <w:rPr>
          <w:rFonts w:asciiTheme="minorHAnsi" w:hAnsiTheme="minorHAnsi" w:cs="Arial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961"/>
        <w:gridCol w:w="1763"/>
      </w:tblGrid>
      <w:tr w:rsidR="006418AC" w:rsidTr="00014BC7">
        <w:tc>
          <w:tcPr>
            <w:tcW w:w="2518" w:type="dxa"/>
          </w:tcPr>
          <w:p w:rsidR="006418AC" w:rsidRPr="006418AC" w:rsidRDefault="003425C7" w:rsidP="006418AC">
            <w:pPr>
              <w:pStyle w:val="Default"/>
              <w:spacing w:before="120" w:after="120"/>
              <w:jc w:val="center"/>
              <w:rPr>
                <w:rFonts w:asciiTheme="minorHAnsi" w:hAnsiTheme="minorHAnsi" w:cs="Arial"/>
                <w:b/>
                <w:color w:val="auto"/>
              </w:rPr>
            </w:pPr>
            <w:r>
              <w:rPr>
                <w:rFonts w:asciiTheme="minorHAnsi" w:hAnsiTheme="minorHAnsi" w:cs="Arial"/>
                <w:b/>
                <w:color w:val="auto"/>
              </w:rPr>
              <w:t>Service Area</w:t>
            </w:r>
          </w:p>
        </w:tc>
        <w:tc>
          <w:tcPr>
            <w:tcW w:w="4961" w:type="dxa"/>
          </w:tcPr>
          <w:p w:rsidR="006418AC" w:rsidRDefault="003425C7" w:rsidP="006418AC">
            <w:pPr>
              <w:pStyle w:val="Default"/>
              <w:spacing w:before="120" w:after="120"/>
              <w:jc w:val="center"/>
              <w:rPr>
                <w:rFonts w:cs="Arial"/>
                <w:b/>
                <w:color w:val="800074"/>
              </w:rPr>
            </w:pPr>
            <w:r>
              <w:rPr>
                <w:rFonts w:asciiTheme="minorHAnsi" w:hAnsiTheme="minorHAnsi" w:cs="Arial"/>
                <w:b/>
                <w:color w:val="auto"/>
              </w:rPr>
              <w:t>Required Information</w:t>
            </w:r>
          </w:p>
        </w:tc>
        <w:tc>
          <w:tcPr>
            <w:tcW w:w="1763" w:type="dxa"/>
          </w:tcPr>
          <w:p w:rsidR="006418AC" w:rsidRDefault="003425C7" w:rsidP="003425C7">
            <w:pPr>
              <w:pStyle w:val="Default"/>
              <w:spacing w:before="120" w:after="120"/>
              <w:jc w:val="center"/>
              <w:rPr>
                <w:rFonts w:cs="Arial"/>
                <w:b/>
                <w:color w:val="800074"/>
              </w:rPr>
            </w:pPr>
            <w:r>
              <w:rPr>
                <w:rFonts w:asciiTheme="minorHAnsi" w:hAnsiTheme="minorHAnsi" w:cs="Arial"/>
                <w:b/>
                <w:color w:val="auto"/>
              </w:rPr>
              <w:t>Weighting</w:t>
            </w:r>
          </w:p>
        </w:tc>
      </w:tr>
      <w:tr w:rsidR="006418AC" w:rsidTr="00014BC7">
        <w:tc>
          <w:tcPr>
            <w:tcW w:w="2518" w:type="dxa"/>
          </w:tcPr>
          <w:p w:rsidR="006418AC" w:rsidRDefault="003425C7" w:rsidP="003425C7">
            <w:pPr>
              <w:pStyle w:val="Default"/>
              <w:spacing w:before="120" w:after="120"/>
              <w:jc w:val="center"/>
              <w:rPr>
                <w:rFonts w:cs="Arial"/>
                <w:b/>
                <w:color w:val="800074"/>
              </w:rPr>
            </w:pPr>
            <w:r>
              <w:rPr>
                <w:rFonts w:asciiTheme="minorHAnsi" w:hAnsiTheme="minorHAnsi" w:cs="Arial"/>
                <w:color w:val="auto"/>
              </w:rPr>
              <w:t>Particulars of y</w:t>
            </w:r>
            <w:r w:rsidRPr="00F633F7">
              <w:rPr>
                <w:rFonts w:asciiTheme="minorHAnsi" w:hAnsiTheme="minorHAnsi" w:cs="Arial"/>
                <w:color w:val="auto"/>
              </w:rPr>
              <w:t>our organisation</w:t>
            </w:r>
          </w:p>
        </w:tc>
        <w:tc>
          <w:tcPr>
            <w:tcW w:w="4961" w:type="dxa"/>
          </w:tcPr>
          <w:p w:rsidR="006418AC" w:rsidRDefault="003425C7" w:rsidP="003425C7">
            <w:pPr>
              <w:pStyle w:val="Default"/>
              <w:spacing w:before="120" w:after="120"/>
              <w:jc w:val="center"/>
              <w:rPr>
                <w:rFonts w:cs="Arial"/>
                <w:b/>
                <w:color w:val="800074"/>
              </w:rPr>
            </w:pPr>
            <w:r w:rsidRPr="00F633F7">
              <w:rPr>
                <w:rFonts w:asciiTheme="minorHAnsi" w:hAnsiTheme="minorHAnsi" w:cs="Arial"/>
                <w:color w:val="auto"/>
              </w:rPr>
              <w:t>Number/coverage/ training of personnel to be adequate to complete all instructions in a timely fashion. Employed or contracted?</w:t>
            </w:r>
            <w:r w:rsidR="00BA3B05">
              <w:rPr>
                <w:rFonts w:asciiTheme="minorHAnsi" w:hAnsiTheme="minorHAnsi" w:cs="Arial"/>
                <w:color w:val="auto"/>
              </w:rPr>
              <w:t xml:space="preserve"> Working procedures.</w:t>
            </w:r>
            <w:r w:rsidRPr="00F633F7">
              <w:rPr>
                <w:rFonts w:asciiTheme="minorHAnsi" w:hAnsiTheme="minorHAnsi" w:cs="Arial"/>
                <w:color w:val="auto"/>
              </w:rPr>
              <w:t xml:space="preserve">  Code of Conduct</w:t>
            </w:r>
            <w:r>
              <w:rPr>
                <w:rFonts w:asciiTheme="minorHAnsi" w:hAnsiTheme="minorHAnsi" w:cs="Arial"/>
                <w:color w:val="auto"/>
              </w:rPr>
              <w:t xml:space="preserve"> and</w:t>
            </w:r>
            <w:r w:rsidRPr="00F633F7">
              <w:rPr>
                <w:rFonts w:asciiTheme="minorHAnsi" w:hAnsiTheme="minorHAnsi" w:cs="Arial"/>
                <w:color w:val="auto"/>
              </w:rPr>
              <w:t xml:space="preserve"> </w:t>
            </w:r>
            <w:r>
              <w:rPr>
                <w:rFonts w:asciiTheme="minorHAnsi" w:hAnsiTheme="minorHAnsi" w:cs="Arial"/>
                <w:color w:val="auto"/>
              </w:rPr>
              <w:t>C</w:t>
            </w:r>
            <w:r w:rsidRPr="00F633F7">
              <w:rPr>
                <w:rFonts w:asciiTheme="minorHAnsi" w:hAnsiTheme="minorHAnsi" w:cs="Arial"/>
                <w:color w:val="auto"/>
              </w:rPr>
              <w:t xml:space="preserve">omplaints </w:t>
            </w:r>
            <w:r>
              <w:rPr>
                <w:rFonts w:asciiTheme="minorHAnsi" w:hAnsiTheme="minorHAnsi" w:cs="Arial"/>
                <w:color w:val="auto"/>
              </w:rPr>
              <w:t>P</w:t>
            </w:r>
            <w:r w:rsidRPr="00F633F7">
              <w:rPr>
                <w:rFonts w:asciiTheme="minorHAnsi" w:hAnsiTheme="minorHAnsi" w:cs="Arial"/>
                <w:color w:val="auto"/>
              </w:rPr>
              <w:t>rocedure</w:t>
            </w:r>
          </w:p>
        </w:tc>
        <w:tc>
          <w:tcPr>
            <w:tcW w:w="1763" w:type="dxa"/>
          </w:tcPr>
          <w:p w:rsidR="006418AC" w:rsidRDefault="00AA13AF" w:rsidP="00AA13AF">
            <w:pPr>
              <w:pStyle w:val="Default"/>
              <w:spacing w:before="120" w:after="120"/>
              <w:jc w:val="center"/>
              <w:rPr>
                <w:rFonts w:cs="Arial"/>
                <w:b/>
                <w:color w:val="800074"/>
              </w:rPr>
            </w:pPr>
            <w:r>
              <w:rPr>
                <w:rFonts w:asciiTheme="minorHAnsi" w:hAnsiTheme="minorHAnsi" w:cs="Arial"/>
                <w:color w:val="auto"/>
              </w:rPr>
              <w:t>20%</w:t>
            </w:r>
          </w:p>
        </w:tc>
      </w:tr>
      <w:tr w:rsidR="006418AC" w:rsidTr="00014BC7">
        <w:tc>
          <w:tcPr>
            <w:tcW w:w="2518" w:type="dxa"/>
          </w:tcPr>
          <w:p w:rsidR="006418AC" w:rsidRDefault="003425C7" w:rsidP="003425C7">
            <w:pPr>
              <w:pStyle w:val="Default"/>
              <w:spacing w:before="120" w:after="120"/>
              <w:jc w:val="center"/>
              <w:rPr>
                <w:rFonts w:cs="Arial"/>
                <w:b/>
                <w:color w:val="800074"/>
              </w:rPr>
            </w:pPr>
            <w:r w:rsidRPr="00F633F7">
              <w:rPr>
                <w:rFonts w:asciiTheme="minorHAnsi" w:hAnsiTheme="minorHAnsi" w:cs="Arial"/>
                <w:color w:val="auto"/>
              </w:rPr>
              <w:t>Accessibility to the Council</w:t>
            </w:r>
          </w:p>
        </w:tc>
        <w:tc>
          <w:tcPr>
            <w:tcW w:w="4961" w:type="dxa"/>
          </w:tcPr>
          <w:p w:rsidR="006418AC" w:rsidRDefault="003425C7" w:rsidP="003425C7">
            <w:pPr>
              <w:pStyle w:val="Default"/>
              <w:spacing w:before="120" w:after="120"/>
              <w:jc w:val="center"/>
              <w:rPr>
                <w:rFonts w:cs="Arial"/>
                <w:b/>
                <w:color w:val="800074"/>
              </w:rPr>
            </w:pPr>
            <w:r w:rsidRPr="00F633F7">
              <w:rPr>
                <w:rFonts w:asciiTheme="minorHAnsi" w:hAnsiTheme="minorHAnsi" w:cs="Arial"/>
                <w:color w:val="auto"/>
              </w:rPr>
              <w:t>Availability of point of contact in emergency situations. Back office; the process</w:t>
            </w:r>
            <w:r>
              <w:rPr>
                <w:rFonts w:asciiTheme="minorHAnsi" w:hAnsiTheme="minorHAnsi" w:cs="Arial"/>
                <w:color w:val="auto"/>
              </w:rPr>
              <w:t>ing of correspondence/ on-line p</w:t>
            </w:r>
            <w:r w:rsidRPr="00F633F7">
              <w:rPr>
                <w:rFonts w:asciiTheme="minorHAnsi" w:hAnsiTheme="minorHAnsi" w:cs="Arial"/>
                <w:color w:val="auto"/>
              </w:rPr>
              <w:t>ortal/ performance reports/ working with Council software provider, data protection policy. Training provision for Council staff</w:t>
            </w:r>
          </w:p>
        </w:tc>
        <w:tc>
          <w:tcPr>
            <w:tcW w:w="1763" w:type="dxa"/>
          </w:tcPr>
          <w:p w:rsidR="006418AC" w:rsidRDefault="00AA13AF" w:rsidP="00AA13AF">
            <w:pPr>
              <w:pStyle w:val="Default"/>
              <w:spacing w:before="120" w:after="120"/>
              <w:jc w:val="center"/>
              <w:rPr>
                <w:rFonts w:cs="Arial"/>
                <w:b/>
                <w:color w:val="800074"/>
              </w:rPr>
            </w:pPr>
            <w:r>
              <w:rPr>
                <w:rFonts w:asciiTheme="minorHAnsi" w:hAnsiTheme="minorHAnsi" w:cs="Arial"/>
                <w:color w:val="auto"/>
              </w:rPr>
              <w:t>20%</w:t>
            </w:r>
          </w:p>
        </w:tc>
      </w:tr>
      <w:tr w:rsidR="006418AC" w:rsidTr="00014BC7">
        <w:tc>
          <w:tcPr>
            <w:tcW w:w="2518" w:type="dxa"/>
          </w:tcPr>
          <w:p w:rsidR="006418AC" w:rsidRDefault="003425C7" w:rsidP="003425C7">
            <w:pPr>
              <w:pStyle w:val="Default"/>
              <w:spacing w:before="120" w:after="120"/>
              <w:jc w:val="center"/>
              <w:rPr>
                <w:rFonts w:cs="Arial"/>
                <w:b/>
                <w:color w:val="800074"/>
              </w:rPr>
            </w:pPr>
            <w:r w:rsidRPr="00F633F7">
              <w:rPr>
                <w:rFonts w:asciiTheme="minorHAnsi" w:hAnsiTheme="minorHAnsi" w:cs="Arial"/>
                <w:color w:val="auto"/>
              </w:rPr>
              <w:t>Instructions</w:t>
            </w:r>
          </w:p>
        </w:tc>
        <w:tc>
          <w:tcPr>
            <w:tcW w:w="4961" w:type="dxa"/>
          </w:tcPr>
          <w:p w:rsidR="006418AC" w:rsidRDefault="003425C7" w:rsidP="003425C7">
            <w:pPr>
              <w:pStyle w:val="Default"/>
              <w:spacing w:before="120" w:after="120"/>
              <w:jc w:val="center"/>
              <w:rPr>
                <w:rFonts w:cs="Arial"/>
                <w:b/>
                <w:color w:val="800074"/>
              </w:rPr>
            </w:pPr>
            <w:r w:rsidRPr="00F633F7">
              <w:rPr>
                <w:rFonts w:asciiTheme="minorHAnsi" w:hAnsiTheme="minorHAnsi" w:cs="Arial"/>
                <w:color w:val="auto"/>
              </w:rPr>
              <w:t>Flexibility in enabling Council’s to withdraw a case in certain conditions. Performance level in respect of debtor tracing and debt recovery</w:t>
            </w:r>
          </w:p>
        </w:tc>
        <w:tc>
          <w:tcPr>
            <w:tcW w:w="1763" w:type="dxa"/>
          </w:tcPr>
          <w:p w:rsidR="006418AC" w:rsidRDefault="00AA13AF" w:rsidP="00AA13AF">
            <w:pPr>
              <w:pStyle w:val="Default"/>
              <w:spacing w:before="120" w:after="120"/>
              <w:jc w:val="center"/>
              <w:rPr>
                <w:rFonts w:cs="Arial"/>
                <w:b/>
                <w:color w:val="800074"/>
              </w:rPr>
            </w:pPr>
            <w:r>
              <w:rPr>
                <w:rFonts w:asciiTheme="minorHAnsi" w:hAnsiTheme="minorHAnsi" w:cs="Arial"/>
                <w:color w:val="auto"/>
              </w:rPr>
              <w:t>20%</w:t>
            </w:r>
          </w:p>
        </w:tc>
      </w:tr>
      <w:tr w:rsidR="006418AC" w:rsidTr="00014BC7">
        <w:tc>
          <w:tcPr>
            <w:tcW w:w="2518" w:type="dxa"/>
          </w:tcPr>
          <w:p w:rsidR="006418AC" w:rsidRDefault="003425C7" w:rsidP="003425C7">
            <w:pPr>
              <w:pStyle w:val="Default"/>
              <w:spacing w:before="120" w:after="120"/>
              <w:jc w:val="center"/>
              <w:rPr>
                <w:rFonts w:cs="Arial"/>
                <w:b/>
                <w:color w:val="800074"/>
              </w:rPr>
            </w:pPr>
            <w:r>
              <w:rPr>
                <w:rFonts w:asciiTheme="minorHAnsi" w:hAnsiTheme="minorHAnsi" w:cs="Arial"/>
                <w:color w:val="auto"/>
              </w:rPr>
              <w:t>Financial procedures</w:t>
            </w:r>
          </w:p>
        </w:tc>
        <w:tc>
          <w:tcPr>
            <w:tcW w:w="4961" w:type="dxa"/>
          </w:tcPr>
          <w:p w:rsidR="006418AC" w:rsidRDefault="003425C7" w:rsidP="003425C7">
            <w:pPr>
              <w:pStyle w:val="Default"/>
              <w:spacing w:before="120" w:after="120"/>
              <w:jc w:val="center"/>
              <w:rPr>
                <w:rFonts w:cs="Arial"/>
                <w:b/>
                <w:color w:val="800074"/>
              </w:rPr>
            </w:pPr>
            <w:r w:rsidRPr="00F633F7">
              <w:rPr>
                <w:rFonts w:asciiTheme="minorHAnsi" w:hAnsiTheme="minorHAnsi" w:cs="Arial"/>
                <w:color w:val="auto"/>
              </w:rPr>
              <w:t>Banking, accounting, invoicing and payments to the Council</w:t>
            </w:r>
            <w:r>
              <w:rPr>
                <w:rFonts w:asciiTheme="minorHAnsi" w:hAnsiTheme="minorHAnsi" w:cs="Arial"/>
                <w:color w:val="auto"/>
              </w:rPr>
              <w:t>. Indemnity and Insurance</w:t>
            </w:r>
          </w:p>
        </w:tc>
        <w:tc>
          <w:tcPr>
            <w:tcW w:w="1763" w:type="dxa"/>
          </w:tcPr>
          <w:p w:rsidR="006418AC" w:rsidRDefault="00AA13AF" w:rsidP="00AA13AF">
            <w:pPr>
              <w:pStyle w:val="Default"/>
              <w:spacing w:before="120" w:after="120"/>
              <w:jc w:val="center"/>
              <w:rPr>
                <w:rFonts w:cs="Arial"/>
                <w:b/>
                <w:color w:val="800074"/>
              </w:rPr>
            </w:pPr>
            <w:r>
              <w:rPr>
                <w:rFonts w:asciiTheme="minorHAnsi" w:hAnsiTheme="minorHAnsi" w:cs="Arial"/>
                <w:color w:val="auto"/>
              </w:rPr>
              <w:t>20%</w:t>
            </w:r>
          </w:p>
        </w:tc>
      </w:tr>
      <w:tr w:rsidR="006418AC" w:rsidTr="00014BC7">
        <w:tc>
          <w:tcPr>
            <w:tcW w:w="2518" w:type="dxa"/>
          </w:tcPr>
          <w:p w:rsidR="006418AC" w:rsidRDefault="00BA3B05" w:rsidP="00BA3B05">
            <w:pPr>
              <w:pStyle w:val="Default"/>
              <w:spacing w:before="120" w:after="120"/>
              <w:jc w:val="center"/>
              <w:rPr>
                <w:rFonts w:cs="Arial"/>
                <w:b/>
                <w:color w:val="800074"/>
              </w:rPr>
            </w:pPr>
            <w:r>
              <w:rPr>
                <w:rFonts w:asciiTheme="minorHAnsi" w:hAnsiTheme="minorHAnsi" w:cs="Arial"/>
                <w:color w:val="auto"/>
              </w:rPr>
              <w:t>Vulnerability</w:t>
            </w:r>
          </w:p>
        </w:tc>
        <w:tc>
          <w:tcPr>
            <w:tcW w:w="4961" w:type="dxa"/>
          </w:tcPr>
          <w:p w:rsidR="006418AC" w:rsidRDefault="003425C7" w:rsidP="003425C7">
            <w:pPr>
              <w:pStyle w:val="Default"/>
              <w:spacing w:before="120" w:after="120"/>
              <w:jc w:val="center"/>
              <w:rPr>
                <w:rFonts w:cs="Arial"/>
                <w:b/>
                <w:color w:val="800074"/>
              </w:rPr>
            </w:pPr>
            <w:r w:rsidRPr="00F633F7">
              <w:rPr>
                <w:rFonts w:asciiTheme="minorHAnsi" w:hAnsiTheme="minorHAnsi" w:cs="Arial"/>
                <w:color w:val="auto"/>
              </w:rPr>
              <w:t>Vu</w:t>
            </w:r>
            <w:r w:rsidR="00BA3B05">
              <w:rPr>
                <w:rFonts w:asciiTheme="minorHAnsi" w:hAnsiTheme="minorHAnsi" w:cs="Arial"/>
                <w:color w:val="auto"/>
              </w:rPr>
              <w:t>lnerability, including medical conditions, learning disabilities, addiction, domestic violence and sever</w:t>
            </w:r>
            <w:r w:rsidR="00AA13AF">
              <w:rPr>
                <w:rFonts w:asciiTheme="minorHAnsi" w:hAnsiTheme="minorHAnsi" w:cs="Arial"/>
                <w:color w:val="auto"/>
              </w:rPr>
              <w:t>e</w:t>
            </w:r>
            <w:r w:rsidR="00BA3B05">
              <w:rPr>
                <w:rFonts w:asciiTheme="minorHAnsi" w:hAnsiTheme="minorHAnsi" w:cs="Arial"/>
                <w:color w:val="auto"/>
              </w:rPr>
              <w:t xml:space="preserve"> debt. Safeguarding and discrimination. </w:t>
            </w:r>
            <w:r w:rsidRPr="00F633F7">
              <w:rPr>
                <w:rFonts w:asciiTheme="minorHAnsi" w:hAnsiTheme="minorHAnsi" w:cs="Arial"/>
                <w:color w:val="auto"/>
              </w:rPr>
              <w:t>Breathing Space</w:t>
            </w:r>
            <w:r>
              <w:rPr>
                <w:rFonts w:asciiTheme="minorHAnsi" w:hAnsiTheme="minorHAnsi" w:cs="Arial"/>
                <w:color w:val="auto"/>
              </w:rPr>
              <w:t xml:space="preserve"> procedures</w:t>
            </w:r>
          </w:p>
        </w:tc>
        <w:tc>
          <w:tcPr>
            <w:tcW w:w="1763" w:type="dxa"/>
          </w:tcPr>
          <w:p w:rsidR="006418AC" w:rsidRDefault="00AA13AF" w:rsidP="00AA13AF">
            <w:pPr>
              <w:pStyle w:val="Default"/>
              <w:spacing w:before="120" w:after="120"/>
              <w:jc w:val="center"/>
              <w:rPr>
                <w:rFonts w:cs="Arial"/>
                <w:b/>
                <w:color w:val="800074"/>
              </w:rPr>
            </w:pPr>
            <w:r>
              <w:rPr>
                <w:rFonts w:asciiTheme="minorHAnsi" w:hAnsiTheme="minorHAnsi" w:cs="Arial"/>
                <w:color w:val="auto"/>
              </w:rPr>
              <w:t>20%</w:t>
            </w:r>
          </w:p>
        </w:tc>
      </w:tr>
    </w:tbl>
    <w:p w:rsidR="006418AC" w:rsidRPr="00441D41" w:rsidRDefault="006418AC" w:rsidP="006418AC">
      <w:pPr>
        <w:pStyle w:val="Default"/>
        <w:spacing w:before="120" w:after="120"/>
        <w:jc w:val="both"/>
        <w:rPr>
          <w:rFonts w:cs="Arial"/>
          <w:b/>
          <w:color w:val="800074"/>
        </w:rPr>
      </w:pPr>
    </w:p>
    <w:p w:rsidR="00441D41" w:rsidRDefault="00441D41" w:rsidP="00441D41">
      <w:pPr>
        <w:pStyle w:val="Default"/>
        <w:spacing w:before="120" w:after="120"/>
        <w:ind w:left="390"/>
        <w:jc w:val="both"/>
        <w:rPr>
          <w:rFonts w:cs="Arial"/>
          <w:b/>
          <w:color w:val="800074"/>
        </w:rPr>
      </w:pPr>
    </w:p>
    <w:p w:rsidR="00867F6C" w:rsidRPr="00F633F7" w:rsidRDefault="00867F6C" w:rsidP="00F633F7">
      <w:pPr>
        <w:spacing w:line="240" w:lineRule="auto"/>
        <w:rPr>
          <w:rFonts w:cs="Arial"/>
          <w:b/>
          <w:color w:val="3366FF"/>
          <w:sz w:val="24"/>
          <w:szCs w:val="24"/>
        </w:rPr>
      </w:pPr>
    </w:p>
    <w:p w:rsidR="00014BC7" w:rsidRDefault="00014BC7">
      <w:pPr>
        <w:rPr>
          <w:rFonts w:eastAsia="Times New Roman" w:cs="Arial"/>
          <w:b/>
          <w:color w:val="000000"/>
          <w:sz w:val="28"/>
          <w:szCs w:val="28"/>
          <w:lang w:eastAsia="en-GB"/>
        </w:rPr>
      </w:pPr>
      <w:r>
        <w:rPr>
          <w:rFonts w:cs="Arial"/>
          <w:b/>
          <w:sz w:val="28"/>
          <w:szCs w:val="28"/>
        </w:rPr>
        <w:br w:type="page"/>
      </w:r>
    </w:p>
    <w:p w:rsidR="006C45AD" w:rsidRDefault="00E872C9" w:rsidP="006C45AD">
      <w:pPr>
        <w:pStyle w:val="Default"/>
        <w:spacing w:before="240" w:after="240"/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lastRenderedPageBreak/>
        <w:t>Response</w:t>
      </w:r>
      <w:r w:rsidR="00BD7D86" w:rsidRPr="00F633F7">
        <w:rPr>
          <w:rFonts w:asciiTheme="minorHAnsi" w:hAnsiTheme="minorHAnsi" w:cs="Arial"/>
          <w:b/>
          <w:sz w:val="28"/>
          <w:szCs w:val="28"/>
        </w:rPr>
        <w:t xml:space="preserve"> Submission Procedure</w:t>
      </w:r>
    </w:p>
    <w:p w:rsidR="00BD7D86" w:rsidRPr="00F633F7" w:rsidRDefault="00BD7D86" w:rsidP="006C45AD">
      <w:pPr>
        <w:pStyle w:val="Default"/>
        <w:spacing w:before="240" w:after="240"/>
        <w:jc w:val="both"/>
        <w:rPr>
          <w:rFonts w:asciiTheme="minorHAnsi" w:hAnsiTheme="minorHAnsi" w:cs="Arial"/>
        </w:rPr>
      </w:pPr>
      <w:r w:rsidRPr="00F633F7">
        <w:rPr>
          <w:rFonts w:asciiTheme="minorHAnsi" w:hAnsiTheme="minorHAnsi" w:cs="Arial"/>
        </w:rPr>
        <w:t>All submissio</w:t>
      </w:r>
      <w:r w:rsidR="001349BD" w:rsidRPr="00F633F7">
        <w:rPr>
          <w:rFonts w:asciiTheme="minorHAnsi" w:hAnsiTheme="minorHAnsi" w:cs="Arial"/>
        </w:rPr>
        <w:t>ns must be uploaded onto the Proactis</w:t>
      </w:r>
      <w:r w:rsidRPr="00F633F7">
        <w:rPr>
          <w:rFonts w:asciiTheme="minorHAnsi" w:hAnsiTheme="minorHAnsi" w:cs="Arial"/>
        </w:rPr>
        <w:t xml:space="preserve"> </w:t>
      </w:r>
      <w:r w:rsidRPr="00A732E3">
        <w:rPr>
          <w:rFonts w:asciiTheme="minorHAnsi" w:hAnsiTheme="minorHAnsi" w:cs="Arial"/>
          <w:color w:val="auto"/>
        </w:rPr>
        <w:t>system</w:t>
      </w:r>
      <w:r w:rsidR="006418AC" w:rsidRPr="00A732E3">
        <w:rPr>
          <w:rFonts w:asciiTheme="minorHAnsi" w:hAnsiTheme="minorHAnsi" w:cs="Arial"/>
          <w:color w:val="auto"/>
        </w:rPr>
        <w:t xml:space="preserve"> </w:t>
      </w:r>
      <w:r w:rsidR="00A732E3" w:rsidRPr="00A732E3">
        <w:rPr>
          <w:rFonts w:asciiTheme="minorHAnsi" w:hAnsiTheme="minorHAnsi" w:cs="Arial"/>
          <w:color w:val="auto"/>
        </w:rPr>
        <w:t>by 12:00 26/05/21</w:t>
      </w:r>
      <w:r w:rsidR="0010675B" w:rsidRPr="00A732E3">
        <w:rPr>
          <w:rFonts w:asciiTheme="minorHAnsi" w:hAnsiTheme="minorHAnsi" w:cs="Arial"/>
          <w:color w:val="auto"/>
        </w:rPr>
        <w:t>.</w:t>
      </w:r>
    </w:p>
    <w:p w:rsidR="00BD7D86" w:rsidRPr="00F633F7" w:rsidRDefault="0010675B" w:rsidP="00F633F7">
      <w:pPr>
        <w:pStyle w:val="Default"/>
        <w:spacing w:before="120" w:after="120"/>
        <w:ind w:left="567" w:hanging="567"/>
        <w:jc w:val="both"/>
        <w:rPr>
          <w:rFonts w:asciiTheme="minorHAnsi" w:hAnsiTheme="minorHAnsi" w:cs="Arial"/>
        </w:rPr>
      </w:pPr>
      <w:r w:rsidRPr="00F633F7">
        <w:rPr>
          <w:rFonts w:asciiTheme="minorHAnsi" w:hAnsiTheme="minorHAnsi" w:cs="Arial"/>
        </w:rPr>
        <w:t>Late submissions will not be accepted.</w:t>
      </w:r>
    </w:p>
    <w:p w:rsidR="00BD7D86" w:rsidRPr="00F633F7" w:rsidRDefault="00BD7D86" w:rsidP="00867F6C">
      <w:pPr>
        <w:pStyle w:val="Default"/>
        <w:spacing w:before="120" w:after="120"/>
        <w:jc w:val="both"/>
        <w:rPr>
          <w:rFonts w:asciiTheme="minorHAnsi" w:hAnsiTheme="minorHAnsi" w:cs="Arial"/>
        </w:rPr>
      </w:pPr>
      <w:r w:rsidRPr="00F633F7">
        <w:rPr>
          <w:rFonts w:asciiTheme="minorHAnsi" w:hAnsiTheme="minorHAnsi" w:cs="Arial"/>
        </w:rPr>
        <w:t xml:space="preserve">The use of the </w:t>
      </w:r>
      <w:r w:rsidR="001349BD" w:rsidRPr="00F633F7">
        <w:rPr>
          <w:rFonts w:asciiTheme="minorHAnsi" w:hAnsiTheme="minorHAnsi" w:cs="Arial"/>
        </w:rPr>
        <w:t>Proactis</w:t>
      </w:r>
      <w:r w:rsidRPr="00F633F7">
        <w:rPr>
          <w:rFonts w:asciiTheme="minorHAnsi" w:hAnsiTheme="minorHAnsi" w:cs="Arial"/>
        </w:rPr>
        <w:t xml:space="preserve"> electronic </w:t>
      </w:r>
      <w:r w:rsidR="00E872C9">
        <w:rPr>
          <w:rFonts w:asciiTheme="minorHAnsi" w:hAnsiTheme="minorHAnsi" w:cs="Arial"/>
        </w:rPr>
        <w:t>Portal</w:t>
      </w:r>
      <w:r w:rsidRPr="00F633F7">
        <w:rPr>
          <w:rFonts w:asciiTheme="minorHAnsi" w:hAnsiTheme="minorHAnsi" w:cs="Arial"/>
        </w:rPr>
        <w:t xml:space="preserve"> is</w:t>
      </w:r>
      <w:r w:rsidR="006418AC">
        <w:rPr>
          <w:rFonts w:asciiTheme="minorHAnsi" w:hAnsiTheme="minorHAnsi" w:cs="Arial"/>
        </w:rPr>
        <w:t xml:space="preserve"> compulsory and will be the only</w:t>
      </w:r>
      <w:r w:rsidRPr="00F633F7">
        <w:rPr>
          <w:rFonts w:asciiTheme="minorHAnsi" w:hAnsiTheme="minorHAnsi" w:cs="Arial"/>
        </w:rPr>
        <w:t xml:space="preserve"> means of communication and exchange of documents between the Council and Potential Service Providers.</w:t>
      </w:r>
    </w:p>
    <w:p w:rsidR="00BD7D86" w:rsidRPr="00F633F7" w:rsidRDefault="00BD7D86" w:rsidP="00867F6C">
      <w:pPr>
        <w:pStyle w:val="Default"/>
        <w:spacing w:before="120" w:after="120"/>
        <w:jc w:val="both"/>
        <w:rPr>
          <w:rFonts w:asciiTheme="minorHAnsi" w:hAnsiTheme="minorHAnsi" w:cs="Arial"/>
        </w:rPr>
      </w:pPr>
      <w:r w:rsidRPr="00F633F7">
        <w:rPr>
          <w:rFonts w:asciiTheme="minorHAnsi" w:hAnsiTheme="minorHAnsi" w:cs="Arial"/>
        </w:rPr>
        <w:t>Potential Service Providers’ submissions are not accessible to the Council until after the submis</w:t>
      </w:r>
      <w:r w:rsidR="00581A93" w:rsidRPr="00F633F7">
        <w:rPr>
          <w:rFonts w:asciiTheme="minorHAnsi" w:hAnsiTheme="minorHAnsi" w:cs="Arial"/>
        </w:rPr>
        <w:t>sion deadline. A</w:t>
      </w:r>
      <w:r w:rsidRPr="00F633F7">
        <w:rPr>
          <w:rFonts w:asciiTheme="minorHAnsi" w:hAnsiTheme="minorHAnsi" w:cs="Arial"/>
        </w:rPr>
        <w:t xml:space="preserve"> revised submission </w:t>
      </w:r>
      <w:r w:rsidR="00581A93" w:rsidRPr="00F633F7">
        <w:rPr>
          <w:rFonts w:asciiTheme="minorHAnsi" w:hAnsiTheme="minorHAnsi" w:cs="Arial"/>
        </w:rPr>
        <w:t xml:space="preserve">can be uploaded any time prior to </w:t>
      </w:r>
      <w:r w:rsidRPr="00F633F7">
        <w:rPr>
          <w:rFonts w:asciiTheme="minorHAnsi" w:hAnsiTheme="minorHAnsi" w:cs="Arial"/>
        </w:rPr>
        <w:t>the submission deadline.</w:t>
      </w:r>
    </w:p>
    <w:p w:rsidR="00BD7D86" w:rsidRDefault="00BD7D86" w:rsidP="00867F6C">
      <w:pPr>
        <w:pStyle w:val="Default"/>
        <w:spacing w:before="120" w:after="120"/>
        <w:jc w:val="both"/>
        <w:rPr>
          <w:rFonts w:asciiTheme="minorHAnsi" w:hAnsiTheme="minorHAnsi" w:cs="Arial"/>
        </w:rPr>
      </w:pPr>
      <w:r w:rsidRPr="00F633F7">
        <w:rPr>
          <w:rFonts w:asciiTheme="minorHAnsi" w:hAnsiTheme="minorHAnsi" w:cs="Arial"/>
        </w:rPr>
        <w:t xml:space="preserve">Clarifications in relation to this </w:t>
      </w:r>
      <w:r w:rsidR="00E872C9">
        <w:rPr>
          <w:rFonts w:asciiTheme="minorHAnsi" w:hAnsiTheme="minorHAnsi" w:cs="Arial"/>
        </w:rPr>
        <w:t>ITQ</w:t>
      </w:r>
      <w:r w:rsidRPr="00F633F7">
        <w:rPr>
          <w:rFonts w:asciiTheme="minorHAnsi" w:hAnsiTheme="minorHAnsi" w:cs="Arial"/>
        </w:rPr>
        <w:t xml:space="preserve"> process and </w:t>
      </w:r>
      <w:r w:rsidR="00E872C9">
        <w:rPr>
          <w:rFonts w:asciiTheme="minorHAnsi" w:hAnsiTheme="minorHAnsi" w:cs="Arial"/>
        </w:rPr>
        <w:t xml:space="preserve">ITQ </w:t>
      </w:r>
      <w:r w:rsidRPr="00F633F7">
        <w:rPr>
          <w:rFonts w:asciiTheme="minorHAnsi" w:hAnsiTheme="minorHAnsi" w:cs="Arial"/>
        </w:rPr>
        <w:t>documentation must be subm</w:t>
      </w:r>
      <w:r w:rsidR="001349BD" w:rsidRPr="00F633F7">
        <w:rPr>
          <w:rFonts w:asciiTheme="minorHAnsi" w:hAnsiTheme="minorHAnsi" w:cs="Arial"/>
        </w:rPr>
        <w:t>itted electronically via the Proactis</w:t>
      </w:r>
      <w:r w:rsidRPr="00F633F7">
        <w:rPr>
          <w:rFonts w:asciiTheme="minorHAnsi" w:hAnsiTheme="minorHAnsi" w:cs="Arial"/>
        </w:rPr>
        <w:t xml:space="preserve"> electronic </w:t>
      </w:r>
      <w:r w:rsidR="00E872C9">
        <w:rPr>
          <w:rFonts w:asciiTheme="minorHAnsi" w:hAnsiTheme="minorHAnsi" w:cs="Arial"/>
        </w:rPr>
        <w:t>Portal</w:t>
      </w:r>
      <w:r w:rsidRPr="00F633F7">
        <w:rPr>
          <w:rFonts w:asciiTheme="minorHAnsi" w:hAnsiTheme="minorHAnsi" w:cs="Arial"/>
        </w:rPr>
        <w:t xml:space="preserve"> or will not be responded to. Under no circumstances should any clarifications be rai</w:t>
      </w:r>
      <w:r w:rsidR="00A732E3">
        <w:rPr>
          <w:rFonts w:asciiTheme="minorHAnsi" w:hAnsiTheme="minorHAnsi" w:cs="Arial"/>
        </w:rPr>
        <w:t>sed</w:t>
      </w:r>
      <w:r w:rsidRPr="00F633F7">
        <w:rPr>
          <w:rFonts w:asciiTheme="minorHAnsi" w:hAnsiTheme="minorHAnsi" w:cs="Arial"/>
        </w:rPr>
        <w:t xml:space="preserve"> via any other method. </w:t>
      </w:r>
    </w:p>
    <w:p w:rsidR="00232C3D" w:rsidRDefault="00BD7D86" w:rsidP="00232C3D">
      <w:pPr>
        <w:pStyle w:val="Default"/>
        <w:spacing w:before="120" w:after="120"/>
        <w:jc w:val="both"/>
        <w:rPr>
          <w:rFonts w:asciiTheme="minorHAnsi" w:hAnsiTheme="minorHAnsi"/>
        </w:rPr>
      </w:pPr>
      <w:r w:rsidRPr="00232C3D">
        <w:rPr>
          <w:rFonts w:asciiTheme="minorHAnsi" w:hAnsiTheme="minorHAnsi" w:cs="Arial"/>
        </w:rPr>
        <w:t xml:space="preserve">Potential Service Providers should contact the </w:t>
      </w:r>
      <w:r w:rsidR="00232C3D">
        <w:rPr>
          <w:rFonts w:asciiTheme="minorHAnsi" w:hAnsiTheme="minorHAnsi" w:cs="Arial"/>
        </w:rPr>
        <w:t>H</w:t>
      </w:r>
      <w:r w:rsidR="00232C3D">
        <w:rPr>
          <w:rFonts w:asciiTheme="minorHAnsi" w:hAnsiTheme="minorHAnsi"/>
        </w:rPr>
        <w:t>elp C</w:t>
      </w:r>
      <w:r w:rsidR="00A732E3" w:rsidRPr="00232C3D">
        <w:rPr>
          <w:rFonts w:asciiTheme="minorHAnsi" w:hAnsiTheme="minorHAnsi"/>
        </w:rPr>
        <w:t>entre</w:t>
      </w:r>
      <w:r w:rsidR="00232C3D">
        <w:rPr>
          <w:rFonts w:asciiTheme="minorHAnsi" w:hAnsiTheme="minorHAnsi"/>
        </w:rPr>
        <w:t xml:space="preserve"> </w:t>
      </w:r>
      <w:r w:rsidR="00232C3D">
        <w:rPr>
          <w:rFonts w:asciiTheme="minorHAnsi" w:hAnsiTheme="minorHAnsi" w:cs="Arial"/>
        </w:rPr>
        <w:t>should</w:t>
      </w:r>
      <w:r w:rsidR="00232C3D" w:rsidRPr="00F633F7">
        <w:rPr>
          <w:rFonts w:asciiTheme="minorHAnsi" w:hAnsiTheme="minorHAnsi" w:cs="Arial"/>
        </w:rPr>
        <w:t xml:space="preserve"> they experience technical difficulties prior to the submission deadline.</w:t>
      </w:r>
      <w:r w:rsidR="00232C3D">
        <w:rPr>
          <w:rFonts w:asciiTheme="minorHAnsi" w:hAnsiTheme="minorHAnsi" w:cs="Arial"/>
        </w:rPr>
        <w:t xml:space="preserve"> </w:t>
      </w:r>
    </w:p>
    <w:p w:rsidR="00A732E3" w:rsidRDefault="00A732E3" w:rsidP="00014BC7">
      <w:pPr>
        <w:spacing w:after="240" w:line="240" w:lineRule="auto"/>
        <w:jc w:val="center"/>
        <w:rPr>
          <w:rFonts w:eastAsia="Times New Roman"/>
          <w:sz w:val="24"/>
          <w:szCs w:val="24"/>
        </w:rPr>
      </w:pPr>
      <w:r w:rsidRPr="00232C3D">
        <w:rPr>
          <w:rStyle w:val="Strong"/>
          <w:rFonts w:eastAsia="Times New Roman"/>
          <w:sz w:val="24"/>
          <w:szCs w:val="24"/>
        </w:rPr>
        <w:t>If you are a supplier that requires support:</w:t>
      </w:r>
      <w:r w:rsidRPr="00232C3D">
        <w:rPr>
          <w:rFonts w:eastAsia="Times New Roman"/>
          <w:sz w:val="24"/>
          <w:szCs w:val="24"/>
        </w:rPr>
        <w:t xml:space="preserve"> </w:t>
      </w:r>
      <w:r w:rsidRPr="00232C3D">
        <w:rPr>
          <w:rFonts w:eastAsia="Times New Roman"/>
          <w:sz w:val="24"/>
          <w:szCs w:val="24"/>
        </w:rPr>
        <w:br/>
        <w:t xml:space="preserve">Log a ticket on the </w:t>
      </w:r>
      <w:hyperlink r:id="rId8" w:tgtFrame="_blank" w:history="1">
        <w:r w:rsidRPr="00232C3D">
          <w:rPr>
            <w:rStyle w:val="Hyperlink"/>
            <w:rFonts w:eastAsia="Times New Roman"/>
            <w:sz w:val="24"/>
            <w:szCs w:val="24"/>
          </w:rPr>
          <w:t>Supplier Support Portal</w:t>
        </w:r>
      </w:hyperlink>
      <w:r w:rsidRPr="00232C3D">
        <w:rPr>
          <w:rFonts w:eastAsia="Times New Roman"/>
          <w:sz w:val="24"/>
          <w:szCs w:val="24"/>
        </w:rPr>
        <w:t xml:space="preserve"> </w:t>
      </w:r>
      <w:r w:rsidRPr="00232C3D">
        <w:rPr>
          <w:rFonts w:eastAsia="Times New Roman"/>
          <w:sz w:val="24"/>
          <w:szCs w:val="24"/>
        </w:rPr>
        <w:br/>
        <w:t xml:space="preserve">Alternatively please email </w:t>
      </w:r>
      <w:hyperlink r:id="rId9" w:history="1">
        <w:r w:rsidRPr="00232C3D">
          <w:rPr>
            <w:rStyle w:val="Hyperlink"/>
            <w:rFonts w:eastAsia="Times New Roman"/>
            <w:sz w:val="24"/>
            <w:szCs w:val="24"/>
          </w:rPr>
          <w:t>ProContractSuppliers@proactis.com</w:t>
        </w:r>
      </w:hyperlink>
      <w:r w:rsidRPr="00232C3D">
        <w:rPr>
          <w:rFonts w:eastAsia="Times New Roman"/>
          <w:sz w:val="24"/>
          <w:szCs w:val="24"/>
        </w:rPr>
        <w:t xml:space="preserve"> for ProContract Supplier Support</w:t>
      </w:r>
      <w:r w:rsidR="00232C3D">
        <w:rPr>
          <w:rFonts w:eastAsia="Times New Roman"/>
          <w:sz w:val="24"/>
          <w:szCs w:val="24"/>
        </w:rPr>
        <w:t>.</w:t>
      </w:r>
    </w:p>
    <w:p w:rsidR="00BD7D86" w:rsidRPr="00F633F7" w:rsidRDefault="00BD7D86" w:rsidP="00867F6C">
      <w:pPr>
        <w:pStyle w:val="Default"/>
        <w:spacing w:before="120" w:after="120"/>
        <w:jc w:val="both"/>
        <w:rPr>
          <w:rFonts w:asciiTheme="minorHAnsi" w:hAnsiTheme="minorHAnsi" w:cs="Arial"/>
        </w:rPr>
      </w:pPr>
      <w:r w:rsidRPr="00F633F7">
        <w:rPr>
          <w:rFonts w:asciiTheme="minorHAnsi" w:hAnsiTheme="minorHAnsi" w:cs="Arial"/>
        </w:rPr>
        <w:t>The Council reserve</w:t>
      </w:r>
      <w:r w:rsidR="00581A93" w:rsidRPr="00F633F7">
        <w:rPr>
          <w:rFonts w:asciiTheme="minorHAnsi" w:hAnsiTheme="minorHAnsi" w:cs="Arial"/>
        </w:rPr>
        <w:t>s</w:t>
      </w:r>
      <w:r w:rsidRPr="00F633F7">
        <w:rPr>
          <w:rFonts w:asciiTheme="minorHAnsi" w:hAnsiTheme="minorHAnsi" w:cs="Arial"/>
        </w:rPr>
        <w:t xml:space="preserve"> the right to decline to make an award for its service requirements, or to abandon or cancel the further competition process.  </w:t>
      </w:r>
      <w:r w:rsidR="006F42A2" w:rsidRPr="00F633F7">
        <w:rPr>
          <w:rFonts w:asciiTheme="minorHAnsi" w:hAnsiTheme="minorHAnsi" w:cs="Arial"/>
        </w:rPr>
        <w:t>T</w:t>
      </w:r>
      <w:r w:rsidRPr="00F633F7">
        <w:rPr>
          <w:rFonts w:asciiTheme="minorHAnsi" w:hAnsiTheme="minorHAnsi" w:cs="Arial"/>
        </w:rPr>
        <w:t>he Council will not be responsible for any costs or expenses incurred as a result of following this course of action.</w:t>
      </w:r>
    </w:p>
    <w:p w:rsidR="00BD7D86" w:rsidRPr="00F633F7" w:rsidRDefault="00BD7D86" w:rsidP="00F633F7">
      <w:pPr>
        <w:pStyle w:val="Default"/>
        <w:spacing w:before="120" w:after="120"/>
        <w:jc w:val="both"/>
        <w:rPr>
          <w:rFonts w:asciiTheme="minorHAnsi" w:hAnsiTheme="minorHAnsi" w:cs="Arial"/>
        </w:rPr>
      </w:pPr>
    </w:p>
    <w:p w:rsidR="00BD7D86" w:rsidRPr="00E850D1" w:rsidRDefault="00BD7D86" w:rsidP="00E872C9">
      <w:pPr>
        <w:pStyle w:val="Default"/>
        <w:spacing w:before="120" w:after="120"/>
        <w:jc w:val="both"/>
        <w:rPr>
          <w:rFonts w:asciiTheme="minorHAnsi" w:hAnsiTheme="minorHAnsi" w:cs="Arial"/>
          <w:bCs/>
        </w:rPr>
      </w:pPr>
    </w:p>
    <w:p w:rsidR="00014BC7" w:rsidRDefault="00014BC7">
      <w:pPr>
        <w:rPr>
          <w:rFonts w:cs="Arial"/>
          <w:b/>
          <w:bCs/>
          <w:kern w:val="32"/>
          <w:sz w:val="28"/>
          <w:szCs w:val="28"/>
        </w:rPr>
      </w:pPr>
      <w:r>
        <w:rPr>
          <w:rFonts w:cs="Arial"/>
          <w:b/>
          <w:bCs/>
          <w:kern w:val="32"/>
          <w:sz w:val="28"/>
          <w:szCs w:val="28"/>
        </w:rPr>
        <w:br w:type="page"/>
      </w:r>
    </w:p>
    <w:p w:rsidR="00867F6C" w:rsidRDefault="00BD7D86" w:rsidP="00867F6C">
      <w:pPr>
        <w:spacing w:line="240" w:lineRule="auto"/>
        <w:rPr>
          <w:b/>
          <w:bCs/>
          <w:color w:val="800080"/>
          <w:kern w:val="32"/>
          <w:sz w:val="28"/>
          <w:szCs w:val="28"/>
        </w:rPr>
      </w:pPr>
      <w:r w:rsidRPr="006C45AD">
        <w:rPr>
          <w:rFonts w:cs="Arial"/>
          <w:b/>
          <w:bCs/>
          <w:kern w:val="32"/>
          <w:sz w:val="28"/>
          <w:szCs w:val="28"/>
        </w:rPr>
        <w:lastRenderedPageBreak/>
        <w:t>Evaluation Criteria and Scoring Methodology</w:t>
      </w:r>
      <w:r w:rsidRPr="006C45AD">
        <w:rPr>
          <w:rFonts w:cs="Arial"/>
          <w:b/>
          <w:bCs/>
          <w:color w:val="800080"/>
          <w:kern w:val="32"/>
          <w:sz w:val="28"/>
          <w:szCs w:val="28"/>
        </w:rPr>
        <w:tab/>
      </w:r>
      <w:r w:rsidRPr="006C45AD">
        <w:rPr>
          <w:b/>
          <w:bCs/>
          <w:color w:val="800080"/>
          <w:kern w:val="32"/>
          <w:sz w:val="28"/>
          <w:szCs w:val="28"/>
        </w:rPr>
        <w:tab/>
      </w:r>
      <w:r w:rsidRPr="006C45AD">
        <w:rPr>
          <w:b/>
          <w:bCs/>
          <w:color w:val="800080"/>
          <w:kern w:val="32"/>
          <w:sz w:val="28"/>
          <w:szCs w:val="28"/>
        </w:rPr>
        <w:tab/>
      </w:r>
      <w:r w:rsidRPr="006C45AD">
        <w:rPr>
          <w:b/>
          <w:bCs/>
          <w:color w:val="800080"/>
          <w:kern w:val="32"/>
          <w:sz w:val="28"/>
          <w:szCs w:val="28"/>
        </w:rPr>
        <w:tab/>
      </w:r>
      <w:r w:rsidRPr="006C45AD">
        <w:rPr>
          <w:b/>
          <w:bCs/>
          <w:color w:val="800080"/>
          <w:kern w:val="32"/>
          <w:sz w:val="28"/>
          <w:szCs w:val="28"/>
        </w:rPr>
        <w:tab/>
      </w:r>
      <w:r w:rsidRPr="006C45AD">
        <w:rPr>
          <w:b/>
          <w:bCs/>
          <w:color w:val="800080"/>
          <w:kern w:val="32"/>
          <w:sz w:val="28"/>
          <w:szCs w:val="28"/>
        </w:rPr>
        <w:tab/>
      </w:r>
      <w:r w:rsidRPr="006C45AD">
        <w:rPr>
          <w:b/>
          <w:bCs/>
          <w:color w:val="800080"/>
          <w:kern w:val="32"/>
          <w:sz w:val="28"/>
          <w:szCs w:val="28"/>
        </w:rPr>
        <w:tab/>
      </w:r>
      <w:r w:rsidRPr="006C45AD">
        <w:rPr>
          <w:b/>
          <w:bCs/>
          <w:color w:val="800080"/>
          <w:kern w:val="32"/>
          <w:sz w:val="28"/>
          <w:szCs w:val="28"/>
        </w:rPr>
        <w:tab/>
      </w:r>
      <w:r w:rsidRPr="006C45AD">
        <w:rPr>
          <w:b/>
          <w:bCs/>
          <w:color w:val="800080"/>
          <w:kern w:val="32"/>
          <w:sz w:val="28"/>
          <w:szCs w:val="28"/>
        </w:rPr>
        <w:tab/>
      </w:r>
    </w:p>
    <w:p w:rsidR="00BD7D86" w:rsidRPr="00867F6C" w:rsidRDefault="00BD7D86" w:rsidP="00867F6C">
      <w:pPr>
        <w:spacing w:line="240" w:lineRule="auto"/>
        <w:rPr>
          <w:b/>
          <w:bCs/>
          <w:color w:val="800080"/>
          <w:kern w:val="32"/>
          <w:sz w:val="28"/>
          <w:szCs w:val="28"/>
        </w:rPr>
      </w:pPr>
      <w:r w:rsidRPr="00F633F7">
        <w:rPr>
          <w:rFonts w:cs="Arial"/>
          <w:bCs/>
          <w:color w:val="000000"/>
          <w:sz w:val="24"/>
          <w:szCs w:val="24"/>
          <w:lang w:eastAsia="en-GB"/>
        </w:rPr>
        <w:t>Evaluation of Award Criteria and Commercial Requirements</w:t>
      </w:r>
    </w:p>
    <w:p w:rsidR="00BD7D86" w:rsidRPr="00F633F7" w:rsidRDefault="00E872C9" w:rsidP="00867F6C">
      <w:pPr>
        <w:autoSpaceDE w:val="0"/>
        <w:autoSpaceDN w:val="0"/>
        <w:adjustRightInd w:val="0"/>
        <w:spacing w:before="240" w:after="240" w:line="240" w:lineRule="auto"/>
        <w:jc w:val="both"/>
        <w:rPr>
          <w:rFonts w:cs="Arial"/>
          <w:bCs/>
          <w:color w:val="000000"/>
          <w:sz w:val="24"/>
          <w:szCs w:val="24"/>
          <w:lang w:eastAsia="en-GB"/>
        </w:rPr>
      </w:pPr>
      <w:r>
        <w:rPr>
          <w:rFonts w:cs="Arial"/>
          <w:bCs/>
          <w:color w:val="000000"/>
          <w:sz w:val="24"/>
          <w:szCs w:val="24"/>
          <w:lang w:eastAsia="en-GB"/>
        </w:rPr>
        <w:t>R</w:t>
      </w:r>
      <w:r w:rsidR="00BD7D86" w:rsidRPr="00F633F7">
        <w:rPr>
          <w:rFonts w:cs="Arial"/>
          <w:bCs/>
          <w:color w:val="000000"/>
          <w:sz w:val="24"/>
          <w:szCs w:val="24"/>
          <w:lang w:eastAsia="en-GB"/>
        </w:rPr>
        <w:t>esponses to the questions contained below will be evaluated against the following criteria;</w:t>
      </w:r>
    </w:p>
    <w:tbl>
      <w:tblPr>
        <w:tblW w:w="4508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5300"/>
      </w:tblGrid>
      <w:tr w:rsidR="00BD7D86" w:rsidRPr="00F633F7" w:rsidTr="0018296B">
        <w:trPr>
          <w:trHeight w:val="536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7D86" w:rsidRPr="00F633F7" w:rsidRDefault="00BD7D86" w:rsidP="00F633F7">
            <w:pPr>
              <w:pStyle w:val="BodyText1"/>
              <w:spacing w:before="12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633F7">
              <w:rPr>
                <w:rFonts w:asciiTheme="minorHAnsi" w:hAnsiTheme="minorHAnsi" w:cs="Arial"/>
                <w:b/>
                <w:sz w:val="24"/>
                <w:szCs w:val="24"/>
              </w:rPr>
              <w:t>Evaluation Criteria</w:t>
            </w:r>
          </w:p>
        </w:tc>
      </w:tr>
      <w:tr w:rsidR="00BD7D86" w:rsidRPr="00F633F7" w:rsidTr="0018296B">
        <w:trPr>
          <w:trHeight w:val="416"/>
        </w:trPr>
        <w:tc>
          <w:tcPr>
            <w:tcW w:w="1820" w:type="pct"/>
            <w:shd w:val="clear" w:color="auto" w:fill="auto"/>
          </w:tcPr>
          <w:p w:rsidR="00BD7D86" w:rsidRPr="00F633F7" w:rsidRDefault="00BD7D86" w:rsidP="00F633F7">
            <w:pPr>
              <w:pStyle w:val="BodyText1"/>
              <w:spacing w:before="12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633F7">
              <w:rPr>
                <w:rFonts w:asciiTheme="minorHAnsi" w:hAnsiTheme="minorHAnsi" w:cs="Arial"/>
                <w:b/>
                <w:sz w:val="24"/>
                <w:szCs w:val="24"/>
              </w:rPr>
              <w:t>CRITERION</w:t>
            </w:r>
          </w:p>
        </w:tc>
        <w:tc>
          <w:tcPr>
            <w:tcW w:w="3180" w:type="pct"/>
            <w:shd w:val="clear" w:color="auto" w:fill="auto"/>
          </w:tcPr>
          <w:p w:rsidR="00BD7D86" w:rsidRPr="00F633F7" w:rsidRDefault="00BD7D86" w:rsidP="00F633F7">
            <w:pPr>
              <w:pStyle w:val="BodyText1"/>
              <w:spacing w:before="12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633F7">
              <w:rPr>
                <w:rFonts w:asciiTheme="minorHAnsi" w:hAnsiTheme="minorHAnsi" w:cs="Arial"/>
                <w:b/>
                <w:sz w:val="24"/>
                <w:szCs w:val="24"/>
              </w:rPr>
              <w:t>PERCENTAGE WEIGHTINGS</w:t>
            </w:r>
          </w:p>
        </w:tc>
      </w:tr>
      <w:tr w:rsidR="00BD7D86" w:rsidRPr="00F633F7" w:rsidTr="0018296B">
        <w:tc>
          <w:tcPr>
            <w:tcW w:w="1820" w:type="pct"/>
            <w:vAlign w:val="center"/>
          </w:tcPr>
          <w:p w:rsidR="00BD7D86" w:rsidRPr="00F633F7" w:rsidRDefault="00BD7D86" w:rsidP="00F633F7">
            <w:pPr>
              <w:pStyle w:val="BodyText1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 w:rsidRPr="00F633F7">
              <w:rPr>
                <w:rFonts w:asciiTheme="minorHAnsi" w:hAnsiTheme="minorHAnsi" w:cs="Arial"/>
                <w:sz w:val="24"/>
                <w:szCs w:val="24"/>
              </w:rPr>
              <w:t>Quality</w:t>
            </w:r>
          </w:p>
        </w:tc>
        <w:tc>
          <w:tcPr>
            <w:tcW w:w="3180" w:type="pct"/>
            <w:vAlign w:val="center"/>
          </w:tcPr>
          <w:p w:rsidR="00BD7D86" w:rsidRPr="00F633F7" w:rsidRDefault="00BD7D86" w:rsidP="00F633F7">
            <w:pPr>
              <w:pStyle w:val="BodyText1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 w:rsidRPr="00F633F7">
              <w:rPr>
                <w:rFonts w:asciiTheme="minorHAnsi" w:hAnsiTheme="minorHAnsi" w:cs="Arial"/>
                <w:sz w:val="24"/>
                <w:szCs w:val="24"/>
              </w:rPr>
              <w:t>100%</w:t>
            </w:r>
          </w:p>
        </w:tc>
      </w:tr>
      <w:tr w:rsidR="00BD7D86" w:rsidRPr="00F633F7" w:rsidTr="0018296B">
        <w:tc>
          <w:tcPr>
            <w:tcW w:w="1820" w:type="pct"/>
            <w:vAlign w:val="center"/>
          </w:tcPr>
          <w:p w:rsidR="00BD7D86" w:rsidRPr="00F633F7" w:rsidRDefault="00BD7D86" w:rsidP="00F633F7">
            <w:pPr>
              <w:pStyle w:val="BodyText1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 w:rsidRPr="00F633F7">
              <w:rPr>
                <w:rFonts w:asciiTheme="minorHAnsi" w:hAnsiTheme="minorHAnsi" w:cs="Arial"/>
                <w:sz w:val="24"/>
                <w:szCs w:val="24"/>
              </w:rPr>
              <w:t>Price</w:t>
            </w:r>
          </w:p>
        </w:tc>
        <w:tc>
          <w:tcPr>
            <w:tcW w:w="3180" w:type="pct"/>
            <w:vAlign w:val="center"/>
          </w:tcPr>
          <w:p w:rsidR="00BD7D86" w:rsidRPr="00F633F7" w:rsidRDefault="00BD7D86" w:rsidP="00F633F7">
            <w:pPr>
              <w:pStyle w:val="BodyText1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 w:rsidRPr="00F633F7">
              <w:rPr>
                <w:rFonts w:asciiTheme="minorHAnsi" w:hAnsiTheme="minorHAnsi" w:cs="Arial"/>
                <w:sz w:val="24"/>
                <w:szCs w:val="24"/>
              </w:rPr>
              <w:t>0%</w:t>
            </w:r>
            <w:r w:rsidR="006F42A2" w:rsidRPr="00F633F7">
              <w:rPr>
                <w:rFonts w:asciiTheme="minorHAnsi" w:hAnsiTheme="minorHAnsi" w:cs="Arial"/>
                <w:sz w:val="24"/>
                <w:szCs w:val="24"/>
              </w:rPr>
              <w:t xml:space="preserve"> *</w:t>
            </w:r>
          </w:p>
        </w:tc>
      </w:tr>
    </w:tbl>
    <w:p w:rsidR="00BD7D86" w:rsidRPr="00F633F7" w:rsidRDefault="006F42A2" w:rsidP="00E872C9">
      <w:pPr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cs="Arial"/>
          <w:color w:val="000000"/>
          <w:sz w:val="24"/>
          <w:szCs w:val="24"/>
          <w:lang w:eastAsia="en-GB"/>
        </w:rPr>
      </w:pPr>
      <w:r w:rsidRPr="00F633F7">
        <w:rPr>
          <w:rFonts w:cs="Arial"/>
          <w:color w:val="000000"/>
          <w:sz w:val="24"/>
          <w:szCs w:val="24"/>
          <w:lang w:eastAsia="en-GB"/>
        </w:rPr>
        <w:t>*Pricing is regulated by UK Legislation ‘The Taking Control of Goods (Fees) Regulation 2014</w:t>
      </w:r>
      <w:r w:rsidR="006418AC">
        <w:rPr>
          <w:rFonts w:cs="Arial"/>
          <w:color w:val="000000"/>
          <w:sz w:val="24"/>
          <w:szCs w:val="24"/>
          <w:lang w:eastAsia="en-GB"/>
        </w:rPr>
        <w:t>.</w:t>
      </w:r>
    </w:p>
    <w:p w:rsidR="006F42A2" w:rsidRPr="00F633F7" w:rsidRDefault="006F42A2" w:rsidP="00F633F7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vanish/>
          <w:color w:val="000000"/>
          <w:sz w:val="24"/>
          <w:szCs w:val="24"/>
          <w:highlight w:val="yellow"/>
          <w:lang w:eastAsia="en-GB"/>
        </w:rPr>
      </w:pPr>
    </w:p>
    <w:p w:rsidR="00BD7D86" w:rsidRPr="00F633F7" w:rsidRDefault="00BD7D86" w:rsidP="00F633F7">
      <w:pPr>
        <w:pStyle w:val="ListParagraph"/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sz w:val="24"/>
          <w:szCs w:val="24"/>
          <w:highlight w:val="yellow"/>
          <w:lang w:eastAsia="en-GB"/>
        </w:rPr>
      </w:pPr>
    </w:p>
    <w:p w:rsidR="00BD7D86" w:rsidRPr="00F633F7" w:rsidRDefault="00242D31" w:rsidP="00F633F7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sz w:val="24"/>
          <w:szCs w:val="24"/>
          <w:highlight w:val="yellow"/>
          <w:lang w:eastAsia="en-GB"/>
        </w:rPr>
      </w:pPr>
      <w:r>
        <w:rPr>
          <w:rFonts w:cs="Arial"/>
          <w:sz w:val="24"/>
          <w:szCs w:val="24"/>
          <w:lang w:eastAsia="en-GB"/>
        </w:rPr>
        <w:t xml:space="preserve">Please </w:t>
      </w:r>
      <w:r w:rsidR="00A732E3">
        <w:rPr>
          <w:sz w:val="24"/>
          <w:szCs w:val="24"/>
        </w:rPr>
        <w:t>see weightings in the ‘Service Specification’ section.</w:t>
      </w:r>
    </w:p>
    <w:p w:rsidR="00BD7D86" w:rsidRPr="00F633F7" w:rsidRDefault="00BD7D86" w:rsidP="00F633F7">
      <w:pPr>
        <w:autoSpaceDE w:val="0"/>
        <w:autoSpaceDN w:val="0"/>
        <w:adjustRightInd w:val="0"/>
        <w:spacing w:before="240" w:after="240" w:line="240" w:lineRule="auto"/>
        <w:jc w:val="both"/>
        <w:rPr>
          <w:rFonts w:cs="Arial"/>
          <w:bCs/>
          <w:color w:val="000000"/>
          <w:sz w:val="24"/>
          <w:szCs w:val="24"/>
          <w:lang w:eastAsia="en-GB"/>
        </w:rPr>
      </w:pPr>
      <w:r w:rsidRPr="00B94496">
        <w:rPr>
          <w:rFonts w:cs="Arial"/>
          <w:b/>
          <w:bCs/>
          <w:color w:val="000000"/>
          <w:sz w:val="24"/>
          <w:szCs w:val="24"/>
          <w:lang w:eastAsia="en-GB"/>
        </w:rPr>
        <w:t xml:space="preserve">Scoring Methodology 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4"/>
        <w:gridCol w:w="1628"/>
      </w:tblGrid>
      <w:tr w:rsidR="00BD7D86" w:rsidRPr="00F633F7" w:rsidTr="0018296B">
        <w:trPr>
          <w:trHeight w:val="416"/>
        </w:trPr>
        <w:tc>
          <w:tcPr>
            <w:tcW w:w="4101" w:type="pct"/>
            <w:shd w:val="clear" w:color="auto" w:fill="auto"/>
          </w:tcPr>
          <w:p w:rsidR="00BD7D86" w:rsidRPr="00F633F7" w:rsidRDefault="00BD7D86" w:rsidP="00F633F7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 w:rsidRPr="00F633F7">
              <w:rPr>
                <w:rFonts w:cs="Arial"/>
                <w:b/>
                <w:sz w:val="24"/>
                <w:szCs w:val="24"/>
                <w:lang w:val="en-US"/>
              </w:rPr>
              <w:t>QUESTION RESPONSES</w:t>
            </w:r>
          </w:p>
        </w:tc>
        <w:tc>
          <w:tcPr>
            <w:tcW w:w="899" w:type="pct"/>
            <w:shd w:val="clear" w:color="auto" w:fill="auto"/>
          </w:tcPr>
          <w:p w:rsidR="00BD7D86" w:rsidRPr="00F633F7" w:rsidRDefault="00BD7D86" w:rsidP="00F633F7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 w:rsidRPr="00F633F7">
              <w:rPr>
                <w:rFonts w:cs="Arial"/>
                <w:b/>
                <w:sz w:val="24"/>
                <w:szCs w:val="24"/>
                <w:lang w:val="en-US"/>
              </w:rPr>
              <w:t>MARKS</w:t>
            </w:r>
          </w:p>
        </w:tc>
      </w:tr>
      <w:tr w:rsidR="00BD7D86" w:rsidRPr="00F633F7" w:rsidTr="0018296B">
        <w:trPr>
          <w:trHeight w:val="853"/>
        </w:trPr>
        <w:tc>
          <w:tcPr>
            <w:tcW w:w="4101" w:type="pct"/>
          </w:tcPr>
          <w:p w:rsidR="00BD7D86" w:rsidRPr="00F633F7" w:rsidRDefault="00BD7D86" w:rsidP="00F633F7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F633F7">
              <w:rPr>
                <w:rFonts w:cs="Arial"/>
                <w:sz w:val="24"/>
                <w:szCs w:val="24"/>
              </w:rPr>
              <w:t>Excellent response with requirements being met and exceeded in some areas. Showing a comprehensive understanding and the ability to deliver to a high standard. Evidence relating to the proposed services shows high quality. </w:t>
            </w:r>
          </w:p>
        </w:tc>
        <w:tc>
          <w:tcPr>
            <w:tcW w:w="899" w:type="pct"/>
            <w:vAlign w:val="center"/>
          </w:tcPr>
          <w:p w:rsidR="00BD7D86" w:rsidRPr="00F633F7" w:rsidRDefault="00BD7D86" w:rsidP="00F633F7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F633F7">
              <w:rPr>
                <w:rFonts w:cs="Arial"/>
                <w:sz w:val="24"/>
                <w:szCs w:val="24"/>
              </w:rPr>
              <w:t>5</w:t>
            </w:r>
          </w:p>
        </w:tc>
      </w:tr>
      <w:tr w:rsidR="00BD7D86" w:rsidRPr="00F633F7" w:rsidTr="0018296B">
        <w:trPr>
          <w:trHeight w:val="892"/>
        </w:trPr>
        <w:tc>
          <w:tcPr>
            <w:tcW w:w="4101" w:type="pct"/>
          </w:tcPr>
          <w:p w:rsidR="00BD7D86" w:rsidRPr="00F633F7" w:rsidRDefault="00BD7D86" w:rsidP="00F633F7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F633F7">
              <w:rPr>
                <w:rFonts w:cs="Arial"/>
                <w:sz w:val="24"/>
                <w:szCs w:val="24"/>
              </w:rPr>
              <w:t>Good response with requirements being fully met. Understanding all requirements and the ability to deliver to a high standard. Evidence in relation to the proposed services shows good quality.</w:t>
            </w:r>
          </w:p>
        </w:tc>
        <w:tc>
          <w:tcPr>
            <w:tcW w:w="899" w:type="pct"/>
            <w:vAlign w:val="center"/>
          </w:tcPr>
          <w:p w:rsidR="00BD7D86" w:rsidRPr="00F633F7" w:rsidRDefault="00BD7D86" w:rsidP="00F633F7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F633F7">
              <w:rPr>
                <w:rFonts w:cs="Arial"/>
                <w:sz w:val="24"/>
                <w:szCs w:val="24"/>
              </w:rPr>
              <w:t>4</w:t>
            </w:r>
          </w:p>
        </w:tc>
      </w:tr>
      <w:tr w:rsidR="00BD7D86" w:rsidRPr="00F633F7" w:rsidTr="0018296B">
        <w:trPr>
          <w:trHeight w:val="777"/>
        </w:trPr>
        <w:tc>
          <w:tcPr>
            <w:tcW w:w="4101" w:type="pct"/>
          </w:tcPr>
          <w:p w:rsidR="00BD7D86" w:rsidRPr="00014BC7" w:rsidRDefault="00BD7D86" w:rsidP="00014BC7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F633F7">
              <w:rPr>
                <w:rFonts w:cs="Arial"/>
                <w:sz w:val="24"/>
                <w:szCs w:val="24"/>
              </w:rPr>
              <w:t>Acceptable answer with requirements being met in parts but not fully.  A reasonable understanding to have the ability to deliver the service. Evidence to show that the services is just suitable for the purpose but has not met the standard expected.</w:t>
            </w:r>
          </w:p>
        </w:tc>
        <w:tc>
          <w:tcPr>
            <w:tcW w:w="899" w:type="pct"/>
            <w:vAlign w:val="center"/>
          </w:tcPr>
          <w:p w:rsidR="00BD7D86" w:rsidRPr="00F633F7" w:rsidRDefault="00BD7D86" w:rsidP="00F633F7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F633F7">
              <w:rPr>
                <w:rFonts w:cs="Arial"/>
                <w:sz w:val="24"/>
                <w:szCs w:val="24"/>
              </w:rPr>
              <w:t>3</w:t>
            </w:r>
          </w:p>
        </w:tc>
      </w:tr>
      <w:tr w:rsidR="00BD7D86" w:rsidRPr="00F633F7" w:rsidTr="0018296B">
        <w:trPr>
          <w:trHeight w:val="777"/>
        </w:trPr>
        <w:tc>
          <w:tcPr>
            <w:tcW w:w="4101" w:type="pct"/>
          </w:tcPr>
          <w:p w:rsidR="00BD7D86" w:rsidRPr="00F633F7" w:rsidRDefault="00BD7D86" w:rsidP="00F633F7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F633F7">
              <w:rPr>
                <w:rFonts w:cs="Arial"/>
                <w:sz w:val="24"/>
                <w:szCs w:val="24"/>
              </w:rPr>
              <w:t>Poor response where some requirements are being met but there are some large exceptions.  Concerns that the services proposed would not be suitable for use. </w:t>
            </w:r>
          </w:p>
        </w:tc>
        <w:tc>
          <w:tcPr>
            <w:tcW w:w="899" w:type="pct"/>
            <w:vAlign w:val="center"/>
          </w:tcPr>
          <w:p w:rsidR="00BD7D86" w:rsidRPr="00F633F7" w:rsidRDefault="00BD7D86" w:rsidP="00F633F7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F633F7">
              <w:rPr>
                <w:rFonts w:cs="Arial"/>
                <w:sz w:val="24"/>
                <w:szCs w:val="24"/>
              </w:rPr>
              <w:t>2</w:t>
            </w:r>
          </w:p>
        </w:tc>
      </w:tr>
      <w:tr w:rsidR="00BD7D86" w:rsidRPr="00F633F7" w:rsidTr="0018296B">
        <w:trPr>
          <w:trHeight w:val="595"/>
        </w:trPr>
        <w:tc>
          <w:tcPr>
            <w:tcW w:w="4101" w:type="pct"/>
          </w:tcPr>
          <w:p w:rsidR="00BD7D86" w:rsidRPr="00F633F7" w:rsidRDefault="00BD7D86" w:rsidP="00F633F7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F633F7">
              <w:rPr>
                <w:rFonts w:cs="Arial"/>
                <w:sz w:val="24"/>
                <w:szCs w:val="24"/>
              </w:rPr>
              <w:t xml:space="preserve">Target requirements only met on a few occasions.  Low standard response.  Major concerns that the services proposed would be suitable for use.  </w:t>
            </w:r>
          </w:p>
        </w:tc>
        <w:tc>
          <w:tcPr>
            <w:tcW w:w="899" w:type="pct"/>
            <w:vAlign w:val="center"/>
          </w:tcPr>
          <w:p w:rsidR="00BD7D86" w:rsidRPr="00F633F7" w:rsidRDefault="00BD7D86" w:rsidP="00F633F7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F633F7">
              <w:rPr>
                <w:rFonts w:cs="Arial"/>
                <w:sz w:val="24"/>
                <w:szCs w:val="24"/>
              </w:rPr>
              <w:t>1</w:t>
            </w:r>
          </w:p>
        </w:tc>
      </w:tr>
      <w:tr w:rsidR="00BD7D86" w:rsidRPr="00F633F7" w:rsidTr="0018296B">
        <w:trPr>
          <w:trHeight w:val="549"/>
        </w:trPr>
        <w:tc>
          <w:tcPr>
            <w:tcW w:w="4101" w:type="pct"/>
          </w:tcPr>
          <w:p w:rsidR="00BD7D86" w:rsidRPr="00F633F7" w:rsidRDefault="00E850D1" w:rsidP="00F633F7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 Answer or a</w:t>
            </w:r>
            <w:r w:rsidR="00BD7D86" w:rsidRPr="00F633F7">
              <w:rPr>
                <w:rFonts w:cs="Arial"/>
                <w:sz w:val="24"/>
                <w:szCs w:val="24"/>
              </w:rPr>
              <w:t>nswer not me</w:t>
            </w:r>
            <w:r>
              <w:rPr>
                <w:rFonts w:cs="Arial"/>
                <w:sz w:val="24"/>
                <w:szCs w:val="24"/>
              </w:rPr>
              <w:t>e</w:t>
            </w:r>
            <w:r w:rsidR="00BD7D86" w:rsidRPr="00F633F7">
              <w:rPr>
                <w:rFonts w:cs="Arial"/>
                <w:sz w:val="24"/>
                <w:szCs w:val="24"/>
              </w:rPr>
              <w:t>t</w:t>
            </w:r>
            <w:r>
              <w:rPr>
                <w:rFonts w:cs="Arial"/>
                <w:sz w:val="24"/>
                <w:szCs w:val="24"/>
              </w:rPr>
              <w:t>ing the requirements</w:t>
            </w:r>
            <w:r w:rsidR="00BD7D86" w:rsidRPr="00F633F7">
              <w:rPr>
                <w:rFonts w:cs="Arial"/>
                <w:sz w:val="24"/>
                <w:szCs w:val="24"/>
              </w:rPr>
              <w:t xml:space="preserve">. No evidence that the services would be suitable.  </w:t>
            </w:r>
          </w:p>
        </w:tc>
        <w:tc>
          <w:tcPr>
            <w:tcW w:w="899" w:type="pct"/>
            <w:vAlign w:val="center"/>
          </w:tcPr>
          <w:p w:rsidR="00BD7D86" w:rsidRPr="00F633F7" w:rsidRDefault="00BD7D86" w:rsidP="00F633F7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F633F7">
              <w:rPr>
                <w:rFonts w:cs="Arial"/>
                <w:sz w:val="24"/>
                <w:szCs w:val="24"/>
              </w:rPr>
              <w:t>0</w:t>
            </w:r>
          </w:p>
        </w:tc>
      </w:tr>
    </w:tbl>
    <w:p w:rsidR="00BD7D86" w:rsidRDefault="00BD7D86" w:rsidP="00F633F7">
      <w:pPr>
        <w:spacing w:line="240" w:lineRule="auto"/>
        <w:rPr>
          <w:rFonts w:cs="Arial"/>
          <w:color w:val="000000"/>
          <w:sz w:val="24"/>
          <w:szCs w:val="24"/>
          <w:lang w:eastAsia="en-GB"/>
        </w:rPr>
      </w:pPr>
      <w:r w:rsidRPr="00F633F7">
        <w:rPr>
          <w:rFonts w:cs="Arial"/>
          <w:b/>
          <w:color w:val="800080"/>
          <w:sz w:val="24"/>
          <w:szCs w:val="24"/>
        </w:rPr>
        <w:tab/>
      </w:r>
      <w:bookmarkStart w:id="1" w:name="_Ref219267844"/>
      <w:r w:rsidRPr="00F633F7">
        <w:rPr>
          <w:rFonts w:cs="Arial"/>
          <w:color w:val="000000"/>
          <w:sz w:val="24"/>
          <w:szCs w:val="24"/>
          <w:lang w:eastAsia="en-GB"/>
        </w:rPr>
        <w:t xml:space="preserve"> </w:t>
      </w:r>
      <w:bookmarkEnd w:id="1"/>
    </w:p>
    <w:p w:rsidR="00C52744" w:rsidRDefault="00C52744" w:rsidP="00F633F7">
      <w:pPr>
        <w:spacing w:line="240" w:lineRule="auto"/>
        <w:rPr>
          <w:rFonts w:cs="Arial"/>
          <w:b/>
          <w:color w:val="000000"/>
          <w:sz w:val="28"/>
          <w:szCs w:val="24"/>
          <w:lang w:eastAsia="en-GB"/>
        </w:rPr>
      </w:pPr>
      <w:r w:rsidRPr="00C52744">
        <w:rPr>
          <w:rFonts w:cs="Arial"/>
          <w:b/>
          <w:color w:val="000000"/>
          <w:sz w:val="28"/>
          <w:szCs w:val="24"/>
          <w:lang w:eastAsia="en-GB"/>
        </w:rPr>
        <w:lastRenderedPageBreak/>
        <w:t>Timetable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52744" w:rsidTr="00C52744">
        <w:trPr>
          <w:trHeight w:val="850"/>
        </w:trPr>
        <w:tc>
          <w:tcPr>
            <w:tcW w:w="4621" w:type="dxa"/>
            <w:vAlign w:val="center"/>
          </w:tcPr>
          <w:p w:rsidR="00C52744" w:rsidRPr="00C52744" w:rsidRDefault="00C52744" w:rsidP="00C52744">
            <w:pPr>
              <w:jc w:val="center"/>
              <w:rPr>
                <w:rFonts w:cs="Arial"/>
                <w:color w:val="000000" w:themeColor="text1"/>
                <w:sz w:val="28"/>
                <w:szCs w:val="24"/>
              </w:rPr>
            </w:pPr>
            <w:r w:rsidRPr="00C52744">
              <w:rPr>
                <w:rFonts w:cs="Arial"/>
                <w:color w:val="000000" w:themeColor="text1"/>
                <w:sz w:val="28"/>
                <w:szCs w:val="24"/>
              </w:rPr>
              <w:t>Invitation to quote published</w:t>
            </w:r>
          </w:p>
        </w:tc>
        <w:tc>
          <w:tcPr>
            <w:tcW w:w="4621" w:type="dxa"/>
            <w:vAlign w:val="center"/>
          </w:tcPr>
          <w:p w:rsidR="00C52744" w:rsidRPr="00C52744" w:rsidRDefault="00C52744" w:rsidP="00C52744">
            <w:pPr>
              <w:jc w:val="center"/>
              <w:rPr>
                <w:rFonts w:cs="Arial"/>
                <w:color w:val="000000" w:themeColor="text1"/>
                <w:sz w:val="28"/>
                <w:szCs w:val="24"/>
              </w:rPr>
            </w:pPr>
            <w:r w:rsidRPr="00C52744">
              <w:rPr>
                <w:rFonts w:cs="Arial"/>
                <w:color w:val="000000" w:themeColor="text1"/>
                <w:sz w:val="28"/>
                <w:szCs w:val="24"/>
              </w:rPr>
              <w:t>28 April 2021</w:t>
            </w:r>
          </w:p>
        </w:tc>
      </w:tr>
      <w:tr w:rsidR="00C52744" w:rsidTr="00C52744">
        <w:trPr>
          <w:trHeight w:val="850"/>
        </w:trPr>
        <w:tc>
          <w:tcPr>
            <w:tcW w:w="4621" w:type="dxa"/>
            <w:vAlign w:val="center"/>
          </w:tcPr>
          <w:p w:rsidR="00C52744" w:rsidRPr="00C52744" w:rsidRDefault="00C52744" w:rsidP="00C52744">
            <w:pPr>
              <w:jc w:val="center"/>
              <w:rPr>
                <w:rFonts w:cs="Arial"/>
                <w:color w:val="000000" w:themeColor="text1"/>
                <w:sz w:val="28"/>
                <w:szCs w:val="24"/>
              </w:rPr>
            </w:pPr>
            <w:r w:rsidRPr="00C52744">
              <w:rPr>
                <w:rFonts w:cs="Arial"/>
                <w:color w:val="000000" w:themeColor="text1"/>
                <w:sz w:val="28"/>
                <w:szCs w:val="24"/>
              </w:rPr>
              <w:t>Deadline for clarifications</w:t>
            </w:r>
          </w:p>
        </w:tc>
        <w:tc>
          <w:tcPr>
            <w:tcW w:w="4621" w:type="dxa"/>
            <w:vAlign w:val="center"/>
          </w:tcPr>
          <w:p w:rsidR="00C52744" w:rsidRPr="00C52744" w:rsidRDefault="00C52744" w:rsidP="00C52744">
            <w:pPr>
              <w:jc w:val="center"/>
              <w:rPr>
                <w:rFonts w:cs="Arial"/>
                <w:color w:val="000000" w:themeColor="text1"/>
                <w:sz w:val="28"/>
                <w:szCs w:val="24"/>
              </w:rPr>
            </w:pPr>
            <w:r w:rsidRPr="00C52744">
              <w:rPr>
                <w:rFonts w:cs="Arial"/>
                <w:color w:val="000000" w:themeColor="text1"/>
                <w:sz w:val="28"/>
                <w:szCs w:val="24"/>
              </w:rPr>
              <w:t>19 May 2021</w:t>
            </w:r>
          </w:p>
        </w:tc>
      </w:tr>
      <w:tr w:rsidR="00C52744" w:rsidTr="00C52744">
        <w:trPr>
          <w:trHeight w:val="850"/>
        </w:trPr>
        <w:tc>
          <w:tcPr>
            <w:tcW w:w="4621" w:type="dxa"/>
            <w:vAlign w:val="center"/>
          </w:tcPr>
          <w:p w:rsidR="00C52744" w:rsidRPr="00C52744" w:rsidRDefault="00C52744" w:rsidP="00C52744">
            <w:pPr>
              <w:jc w:val="center"/>
              <w:rPr>
                <w:rFonts w:cs="Arial"/>
                <w:color w:val="000000" w:themeColor="text1"/>
                <w:sz w:val="28"/>
                <w:szCs w:val="24"/>
              </w:rPr>
            </w:pPr>
            <w:r w:rsidRPr="00C52744">
              <w:rPr>
                <w:rFonts w:cs="Arial"/>
                <w:color w:val="000000" w:themeColor="text1"/>
                <w:sz w:val="28"/>
                <w:szCs w:val="24"/>
              </w:rPr>
              <w:t>Deadline for responses</w:t>
            </w:r>
          </w:p>
        </w:tc>
        <w:tc>
          <w:tcPr>
            <w:tcW w:w="4621" w:type="dxa"/>
            <w:vAlign w:val="center"/>
          </w:tcPr>
          <w:p w:rsidR="00C52744" w:rsidRPr="00C52744" w:rsidRDefault="00C52744" w:rsidP="00C52744">
            <w:pPr>
              <w:jc w:val="center"/>
              <w:rPr>
                <w:rFonts w:cs="Arial"/>
                <w:color w:val="000000" w:themeColor="text1"/>
                <w:sz w:val="28"/>
                <w:szCs w:val="24"/>
              </w:rPr>
            </w:pPr>
            <w:r w:rsidRPr="00C52744">
              <w:rPr>
                <w:rFonts w:cs="Arial"/>
                <w:color w:val="000000" w:themeColor="text1"/>
                <w:sz w:val="28"/>
                <w:szCs w:val="24"/>
              </w:rPr>
              <w:t>26 May 2021 at 12:00</w:t>
            </w:r>
          </w:p>
        </w:tc>
      </w:tr>
      <w:tr w:rsidR="00C52744" w:rsidTr="00C52744">
        <w:trPr>
          <w:trHeight w:val="850"/>
        </w:trPr>
        <w:tc>
          <w:tcPr>
            <w:tcW w:w="4621" w:type="dxa"/>
            <w:vAlign w:val="center"/>
          </w:tcPr>
          <w:p w:rsidR="00C52744" w:rsidRPr="00C52744" w:rsidRDefault="00C52744" w:rsidP="00C52744">
            <w:pPr>
              <w:jc w:val="center"/>
              <w:rPr>
                <w:rFonts w:cs="Arial"/>
                <w:color w:val="000000" w:themeColor="text1"/>
                <w:sz w:val="28"/>
                <w:szCs w:val="24"/>
              </w:rPr>
            </w:pPr>
            <w:r>
              <w:rPr>
                <w:rFonts w:cs="Arial"/>
                <w:color w:val="000000" w:themeColor="text1"/>
                <w:sz w:val="28"/>
                <w:szCs w:val="24"/>
              </w:rPr>
              <w:t>Estimated date for the e</w:t>
            </w:r>
            <w:r w:rsidRPr="00C52744">
              <w:rPr>
                <w:rFonts w:cs="Arial"/>
                <w:color w:val="000000" w:themeColor="text1"/>
                <w:sz w:val="28"/>
                <w:szCs w:val="24"/>
              </w:rPr>
              <w:t xml:space="preserve">valuation </w:t>
            </w:r>
            <w:r>
              <w:rPr>
                <w:rFonts w:cs="Arial"/>
                <w:color w:val="000000" w:themeColor="text1"/>
                <w:sz w:val="28"/>
                <w:szCs w:val="24"/>
              </w:rPr>
              <w:t xml:space="preserve">stage to be </w:t>
            </w:r>
            <w:r w:rsidRPr="00C52744">
              <w:rPr>
                <w:rFonts w:cs="Arial"/>
                <w:color w:val="000000" w:themeColor="text1"/>
                <w:sz w:val="28"/>
                <w:szCs w:val="24"/>
              </w:rPr>
              <w:t>completed by</w:t>
            </w:r>
          </w:p>
        </w:tc>
        <w:tc>
          <w:tcPr>
            <w:tcW w:w="4621" w:type="dxa"/>
            <w:vAlign w:val="center"/>
          </w:tcPr>
          <w:p w:rsidR="00C52744" w:rsidRPr="00C52744" w:rsidRDefault="00C52744" w:rsidP="00C52744">
            <w:pPr>
              <w:jc w:val="center"/>
              <w:rPr>
                <w:rFonts w:cs="Arial"/>
                <w:color w:val="000000" w:themeColor="text1"/>
                <w:sz w:val="28"/>
                <w:szCs w:val="24"/>
              </w:rPr>
            </w:pPr>
            <w:r w:rsidRPr="00C52744">
              <w:rPr>
                <w:rFonts w:cs="Arial"/>
                <w:color w:val="000000" w:themeColor="text1"/>
                <w:sz w:val="28"/>
                <w:szCs w:val="24"/>
              </w:rPr>
              <w:t>9 June 2021</w:t>
            </w:r>
          </w:p>
        </w:tc>
      </w:tr>
      <w:tr w:rsidR="00C52744" w:rsidTr="00C52744">
        <w:trPr>
          <w:trHeight w:val="850"/>
        </w:trPr>
        <w:tc>
          <w:tcPr>
            <w:tcW w:w="4621" w:type="dxa"/>
            <w:vAlign w:val="center"/>
          </w:tcPr>
          <w:p w:rsidR="00C52744" w:rsidRPr="00C52744" w:rsidRDefault="00C52744" w:rsidP="00C52744">
            <w:pPr>
              <w:jc w:val="center"/>
              <w:rPr>
                <w:rFonts w:cs="Arial"/>
                <w:color w:val="000000" w:themeColor="text1"/>
                <w:sz w:val="28"/>
                <w:szCs w:val="24"/>
              </w:rPr>
            </w:pPr>
            <w:r>
              <w:rPr>
                <w:rFonts w:cs="Arial"/>
                <w:color w:val="000000" w:themeColor="text1"/>
                <w:sz w:val="28"/>
                <w:szCs w:val="24"/>
              </w:rPr>
              <w:t>Estimated date for a</w:t>
            </w:r>
            <w:r w:rsidRPr="00C52744">
              <w:rPr>
                <w:rFonts w:cs="Arial"/>
                <w:color w:val="000000" w:themeColor="text1"/>
                <w:sz w:val="28"/>
                <w:szCs w:val="24"/>
              </w:rPr>
              <w:t>ward decision</w:t>
            </w:r>
            <w:r>
              <w:rPr>
                <w:rFonts w:cs="Arial"/>
                <w:color w:val="000000" w:themeColor="text1"/>
                <w:sz w:val="28"/>
                <w:szCs w:val="24"/>
              </w:rPr>
              <w:t xml:space="preserve"> notification</w:t>
            </w:r>
          </w:p>
        </w:tc>
        <w:tc>
          <w:tcPr>
            <w:tcW w:w="4621" w:type="dxa"/>
            <w:vAlign w:val="center"/>
          </w:tcPr>
          <w:p w:rsidR="00C52744" w:rsidRPr="00C52744" w:rsidRDefault="00C52744" w:rsidP="00C52744">
            <w:pPr>
              <w:jc w:val="center"/>
              <w:rPr>
                <w:rFonts w:cs="Arial"/>
                <w:color w:val="000000" w:themeColor="text1"/>
                <w:sz w:val="28"/>
                <w:szCs w:val="24"/>
              </w:rPr>
            </w:pPr>
            <w:r w:rsidRPr="00C52744">
              <w:rPr>
                <w:rFonts w:cs="Arial"/>
                <w:color w:val="000000" w:themeColor="text1"/>
                <w:sz w:val="28"/>
                <w:szCs w:val="24"/>
              </w:rPr>
              <w:t>10 June 2021</w:t>
            </w:r>
          </w:p>
        </w:tc>
      </w:tr>
      <w:tr w:rsidR="00C52744" w:rsidTr="00C52744">
        <w:trPr>
          <w:trHeight w:val="850"/>
        </w:trPr>
        <w:tc>
          <w:tcPr>
            <w:tcW w:w="4621" w:type="dxa"/>
            <w:vAlign w:val="center"/>
          </w:tcPr>
          <w:p w:rsidR="00C52744" w:rsidRPr="00C52744" w:rsidRDefault="00C52744" w:rsidP="00C52744">
            <w:pPr>
              <w:jc w:val="center"/>
              <w:rPr>
                <w:rFonts w:cs="Arial"/>
                <w:color w:val="000000" w:themeColor="text1"/>
                <w:sz w:val="28"/>
                <w:szCs w:val="24"/>
              </w:rPr>
            </w:pPr>
            <w:r>
              <w:rPr>
                <w:rFonts w:cs="Arial"/>
                <w:color w:val="000000" w:themeColor="text1"/>
                <w:sz w:val="28"/>
                <w:szCs w:val="24"/>
              </w:rPr>
              <w:t>Estimated contract start d</w:t>
            </w:r>
            <w:r w:rsidRPr="00C52744">
              <w:rPr>
                <w:rFonts w:cs="Arial"/>
                <w:color w:val="000000" w:themeColor="text1"/>
                <w:sz w:val="28"/>
                <w:szCs w:val="24"/>
              </w:rPr>
              <w:t>ate</w:t>
            </w:r>
          </w:p>
        </w:tc>
        <w:tc>
          <w:tcPr>
            <w:tcW w:w="4621" w:type="dxa"/>
            <w:vAlign w:val="center"/>
          </w:tcPr>
          <w:p w:rsidR="00C52744" w:rsidRPr="00C52744" w:rsidRDefault="00C4602F" w:rsidP="00C52744">
            <w:pPr>
              <w:jc w:val="center"/>
              <w:rPr>
                <w:rFonts w:cs="Arial"/>
                <w:color w:val="000000" w:themeColor="text1"/>
                <w:sz w:val="28"/>
                <w:szCs w:val="24"/>
              </w:rPr>
            </w:pPr>
            <w:r>
              <w:rPr>
                <w:rFonts w:cs="Arial"/>
                <w:color w:val="000000" w:themeColor="text1"/>
                <w:sz w:val="28"/>
                <w:szCs w:val="24"/>
              </w:rPr>
              <w:t>Mid July 2021</w:t>
            </w:r>
          </w:p>
        </w:tc>
      </w:tr>
    </w:tbl>
    <w:p w:rsidR="00C52744" w:rsidRDefault="00C52744" w:rsidP="00F633F7">
      <w:pPr>
        <w:spacing w:line="240" w:lineRule="auto"/>
        <w:rPr>
          <w:rFonts w:cs="Arial"/>
          <w:b/>
          <w:color w:val="000000" w:themeColor="text1"/>
          <w:sz w:val="28"/>
          <w:szCs w:val="24"/>
        </w:rPr>
      </w:pPr>
    </w:p>
    <w:p w:rsidR="00C52744" w:rsidRPr="00C52744" w:rsidRDefault="00C52744" w:rsidP="00F633F7">
      <w:pPr>
        <w:spacing w:line="240" w:lineRule="auto"/>
        <w:rPr>
          <w:rFonts w:cs="Arial"/>
          <w:b/>
          <w:color w:val="000000" w:themeColor="text1"/>
          <w:sz w:val="28"/>
          <w:szCs w:val="24"/>
        </w:rPr>
      </w:pPr>
    </w:p>
    <w:sectPr w:rsidR="00C52744" w:rsidRPr="00C5274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B05" w:rsidRDefault="00BA3B05" w:rsidP="00752902">
      <w:pPr>
        <w:spacing w:after="0" w:line="240" w:lineRule="auto"/>
      </w:pPr>
      <w:r>
        <w:separator/>
      </w:r>
    </w:p>
  </w:endnote>
  <w:endnote w:type="continuationSeparator" w:id="0">
    <w:p w:rsidR="00BA3B05" w:rsidRDefault="00BA3B05" w:rsidP="00752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5324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3B05" w:rsidRDefault="00BA3B0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CDB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DATE \@ "d MMMM yyyy" </w:instrText>
        </w:r>
        <w:r>
          <w:rPr>
            <w:noProof/>
          </w:rPr>
          <w:fldChar w:fldCharType="separate"/>
        </w:r>
        <w:r w:rsidR="00740CDB">
          <w:rPr>
            <w:noProof/>
          </w:rPr>
          <w:t>29 April 2021</w:t>
        </w:r>
        <w:r>
          <w:rPr>
            <w:noProof/>
          </w:rPr>
          <w:fldChar w:fldCharType="end"/>
        </w:r>
      </w:p>
    </w:sdtContent>
  </w:sdt>
  <w:p w:rsidR="00BA3B05" w:rsidRDefault="00BA3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B05" w:rsidRDefault="00BA3B05" w:rsidP="00752902">
      <w:pPr>
        <w:spacing w:after="0" w:line="240" w:lineRule="auto"/>
      </w:pPr>
      <w:r>
        <w:separator/>
      </w:r>
    </w:p>
  </w:footnote>
  <w:footnote w:type="continuationSeparator" w:id="0">
    <w:p w:rsidR="00BA3B05" w:rsidRDefault="00BA3B05" w:rsidP="00752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B05" w:rsidRDefault="00BA3B0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F46028C" wp14:editId="0BDC6963">
          <wp:simplePos x="0" y="0"/>
          <wp:positionH relativeFrom="column">
            <wp:posOffset>3819525</wp:posOffset>
          </wp:positionH>
          <wp:positionV relativeFrom="paragraph">
            <wp:posOffset>-249555</wp:posOffset>
          </wp:positionV>
          <wp:extent cx="1807210" cy="542290"/>
          <wp:effectExtent l="0" t="0" r="2540" b="0"/>
          <wp:wrapTight wrapText="bothSides">
            <wp:wrapPolygon edited="0">
              <wp:start x="0" y="0"/>
              <wp:lineTo x="0" y="20487"/>
              <wp:lineTo x="21403" y="20487"/>
              <wp:lineTo x="21403" y="0"/>
              <wp:lineTo x="0" y="0"/>
            </wp:wrapPolygon>
          </wp:wrapTight>
          <wp:docPr id="2" name="Picture 2" descr="P:\Environmental Services\StreetScene\Landscape Management\ADMINISTRATION\Logos\Borough Logo low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Environmental Services\StreetScene\Landscape Management\ADMINISTRATION\Logos\Borough Logo low 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21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Enforcement Agent Services</w:t>
    </w:r>
  </w:p>
  <w:p w:rsidR="00BA3B05" w:rsidRDefault="00BA3B05">
    <w:pPr>
      <w:pStyle w:val="Header"/>
    </w:pPr>
  </w:p>
  <w:p w:rsidR="00BA3B05" w:rsidRDefault="00BA3B05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289E"/>
    <w:multiLevelType w:val="hybridMultilevel"/>
    <w:tmpl w:val="CD2227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1D6870"/>
    <w:multiLevelType w:val="hybridMultilevel"/>
    <w:tmpl w:val="21E011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64364"/>
    <w:multiLevelType w:val="hybridMultilevel"/>
    <w:tmpl w:val="079ADCD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4A7F25"/>
    <w:multiLevelType w:val="multilevel"/>
    <w:tmpl w:val="0E147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DBB1FFE"/>
    <w:multiLevelType w:val="hybridMultilevel"/>
    <w:tmpl w:val="19040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76C05"/>
    <w:multiLevelType w:val="multilevel"/>
    <w:tmpl w:val="A6B0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4801EA"/>
    <w:multiLevelType w:val="hybridMultilevel"/>
    <w:tmpl w:val="3ED4C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B2928"/>
    <w:multiLevelType w:val="multilevel"/>
    <w:tmpl w:val="4A9CBE9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698A33F1"/>
    <w:multiLevelType w:val="multilevel"/>
    <w:tmpl w:val="D91EF43E"/>
    <w:lvl w:ilvl="0">
      <w:start w:val="5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9">
    <w:nsid w:val="6BA267ED"/>
    <w:multiLevelType w:val="multilevel"/>
    <w:tmpl w:val="0CCEA480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1.%2"/>
      <w:lvlJc w:val="left"/>
      <w:pPr>
        <w:tabs>
          <w:tab w:val="num" w:pos="390"/>
        </w:tabs>
        <w:ind w:left="390" w:hanging="39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0">
    <w:nsid w:val="71DB3327"/>
    <w:multiLevelType w:val="multilevel"/>
    <w:tmpl w:val="48FC3A84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1">
    <w:nsid w:val="74A941BC"/>
    <w:multiLevelType w:val="hybridMultilevel"/>
    <w:tmpl w:val="0A6C19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A4"/>
    <w:rsid w:val="00014BC7"/>
    <w:rsid w:val="00021F41"/>
    <w:rsid w:val="00037D11"/>
    <w:rsid w:val="000537BA"/>
    <w:rsid w:val="00063166"/>
    <w:rsid w:val="00067F7F"/>
    <w:rsid w:val="00070294"/>
    <w:rsid w:val="000C6F60"/>
    <w:rsid w:val="000E0E46"/>
    <w:rsid w:val="00100240"/>
    <w:rsid w:val="00105986"/>
    <w:rsid w:val="0010675B"/>
    <w:rsid w:val="00126F6B"/>
    <w:rsid w:val="00130580"/>
    <w:rsid w:val="001349BD"/>
    <w:rsid w:val="00141784"/>
    <w:rsid w:val="00152C4E"/>
    <w:rsid w:val="00160A32"/>
    <w:rsid w:val="001765D8"/>
    <w:rsid w:val="0018296B"/>
    <w:rsid w:val="001837BD"/>
    <w:rsid w:val="00186DDC"/>
    <w:rsid w:val="00200959"/>
    <w:rsid w:val="00205023"/>
    <w:rsid w:val="00232C3D"/>
    <w:rsid w:val="00242D31"/>
    <w:rsid w:val="00282E5C"/>
    <w:rsid w:val="002929E5"/>
    <w:rsid w:val="0030018E"/>
    <w:rsid w:val="003237CC"/>
    <w:rsid w:val="003425C7"/>
    <w:rsid w:val="003A4DCF"/>
    <w:rsid w:val="003C7EFA"/>
    <w:rsid w:val="00406E0B"/>
    <w:rsid w:val="004076E1"/>
    <w:rsid w:val="00421614"/>
    <w:rsid w:val="00441D41"/>
    <w:rsid w:val="004473DD"/>
    <w:rsid w:val="0045102D"/>
    <w:rsid w:val="00453A63"/>
    <w:rsid w:val="004549DC"/>
    <w:rsid w:val="004A0E52"/>
    <w:rsid w:val="004E5BFF"/>
    <w:rsid w:val="00504354"/>
    <w:rsid w:val="00513599"/>
    <w:rsid w:val="00514CD8"/>
    <w:rsid w:val="0052675D"/>
    <w:rsid w:val="00530C6D"/>
    <w:rsid w:val="00555101"/>
    <w:rsid w:val="005667B0"/>
    <w:rsid w:val="005753BE"/>
    <w:rsid w:val="00581A93"/>
    <w:rsid w:val="005868EF"/>
    <w:rsid w:val="005B7185"/>
    <w:rsid w:val="005C45A7"/>
    <w:rsid w:val="005D633D"/>
    <w:rsid w:val="005F5700"/>
    <w:rsid w:val="006069AF"/>
    <w:rsid w:val="00627944"/>
    <w:rsid w:val="00635F18"/>
    <w:rsid w:val="00640900"/>
    <w:rsid w:val="006418AC"/>
    <w:rsid w:val="00685444"/>
    <w:rsid w:val="006A747B"/>
    <w:rsid w:val="006C0C39"/>
    <w:rsid w:val="006C3830"/>
    <w:rsid w:val="006C45AD"/>
    <w:rsid w:val="006D7BFB"/>
    <w:rsid w:val="006F42A2"/>
    <w:rsid w:val="00702263"/>
    <w:rsid w:val="007050CF"/>
    <w:rsid w:val="00712B30"/>
    <w:rsid w:val="007261E3"/>
    <w:rsid w:val="00740CDB"/>
    <w:rsid w:val="00752902"/>
    <w:rsid w:val="007957FA"/>
    <w:rsid w:val="00841B25"/>
    <w:rsid w:val="0084249D"/>
    <w:rsid w:val="00844FCF"/>
    <w:rsid w:val="0085002E"/>
    <w:rsid w:val="00867F6C"/>
    <w:rsid w:val="008736EA"/>
    <w:rsid w:val="008B33E4"/>
    <w:rsid w:val="008B5FF0"/>
    <w:rsid w:val="009023A3"/>
    <w:rsid w:val="00912EBE"/>
    <w:rsid w:val="009174D1"/>
    <w:rsid w:val="009369E2"/>
    <w:rsid w:val="009457DF"/>
    <w:rsid w:val="00963161"/>
    <w:rsid w:val="0096430D"/>
    <w:rsid w:val="009841DA"/>
    <w:rsid w:val="00984A21"/>
    <w:rsid w:val="009C7B56"/>
    <w:rsid w:val="009D04EE"/>
    <w:rsid w:val="009D41F1"/>
    <w:rsid w:val="009E7117"/>
    <w:rsid w:val="00A27556"/>
    <w:rsid w:val="00A4495C"/>
    <w:rsid w:val="00A732E3"/>
    <w:rsid w:val="00A81786"/>
    <w:rsid w:val="00AA13AF"/>
    <w:rsid w:val="00AD3025"/>
    <w:rsid w:val="00B000AD"/>
    <w:rsid w:val="00B03933"/>
    <w:rsid w:val="00B26B44"/>
    <w:rsid w:val="00B75056"/>
    <w:rsid w:val="00B82B58"/>
    <w:rsid w:val="00B83E2E"/>
    <w:rsid w:val="00B929C2"/>
    <w:rsid w:val="00B94496"/>
    <w:rsid w:val="00BA3B05"/>
    <w:rsid w:val="00BA6ECE"/>
    <w:rsid w:val="00BC5DA1"/>
    <w:rsid w:val="00BD7D86"/>
    <w:rsid w:val="00C4602F"/>
    <w:rsid w:val="00C52744"/>
    <w:rsid w:val="00C62297"/>
    <w:rsid w:val="00CB5A84"/>
    <w:rsid w:val="00CD6B15"/>
    <w:rsid w:val="00D02E1C"/>
    <w:rsid w:val="00D23311"/>
    <w:rsid w:val="00D44042"/>
    <w:rsid w:val="00D571CA"/>
    <w:rsid w:val="00D93103"/>
    <w:rsid w:val="00DC073A"/>
    <w:rsid w:val="00DE3FA4"/>
    <w:rsid w:val="00E014DA"/>
    <w:rsid w:val="00E10850"/>
    <w:rsid w:val="00E40142"/>
    <w:rsid w:val="00E55272"/>
    <w:rsid w:val="00E850D1"/>
    <w:rsid w:val="00E872C9"/>
    <w:rsid w:val="00EB4F8E"/>
    <w:rsid w:val="00EF5AAF"/>
    <w:rsid w:val="00F02CB5"/>
    <w:rsid w:val="00F23EA4"/>
    <w:rsid w:val="00F50DFA"/>
    <w:rsid w:val="00F633F7"/>
    <w:rsid w:val="00F640C1"/>
    <w:rsid w:val="00FB317C"/>
    <w:rsid w:val="00FE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2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902"/>
  </w:style>
  <w:style w:type="paragraph" w:styleId="Footer">
    <w:name w:val="footer"/>
    <w:basedOn w:val="Normal"/>
    <w:link w:val="FooterChar"/>
    <w:uiPriority w:val="99"/>
    <w:unhideWhenUsed/>
    <w:rsid w:val="00752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902"/>
  </w:style>
  <w:style w:type="paragraph" w:styleId="ListParagraph">
    <w:name w:val="List Paragraph"/>
    <w:basedOn w:val="Normal"/>
    <w:uiPriority w:val="34"/>
    <w:qFormat/>
    <w:rsid w:val="00037D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9E2"/>
    <w:rPr>
      <w:color w:val="0000FF"/>
      <w:u w:val="single"/>
    </w:rPr>
  </w:style>
  <w:style w:type="paragraph" w:styleId="NoSpacing">
    <w:name w:val="No Spacing"/>
    <w:uiPriority w:val="1"/>
    <w:qFormat/>
    <w:rsid w:val="00BA6ECE"/>
    <w:pPr>
      <w:spacing w:after="0" w:line="240" w:lineRule="auto"/>
    </w:pPr>
  </w:style>
  <w:style w:type="table" w:styleId="TableGrid">
    <w:name w:val="Table Grid"/>
    <w:basedOn w:val="TableNormal"/>
    <w:uiPriority w:val="59"/>
    <w:rsid w:val="00070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70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7029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5102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rsid w:val="00BD7D86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BD7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D7D86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">
    <w:name w:val="Body Text1"/>
    <w:basedOn w:val="Normal"/>
    <w:rsid w:val="00BD7D86"/>
    <w:p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A732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2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902"/>
  </w:style>
  <w:style w:type="paragraph" w:styleId="Footer">
    <w:name w:val="footer"/>
    <w:basedOn w:val="Normal"/>
    <w:link w:val="FooterChar"/>
    <w:uiPriority w:val="99"/>
    <w:unhideWhenUsed/>
    <w:rsid w:val="00752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902"/>
  </w:style>
  <w:style w:type="paragraph" w:styleId="ListParagraph">
    <w:name w:val="List Paragraph"/>
    <w:basedOn w:val="Normal"/>
    <w:uiPriority w:val="34"/>
    <w:qFormat/>
    <w:rsid w:val="00037D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9E2"/>
    <w:rPr>
      <w:color w:val="0000FF"/>
      <w:u w:val="single"/>
    </w:rPr>
  </w:style>
  <w:style w:type="paragraph" w:styleId="NoSpacing">
    <w:name w:val="No Spacing"/>
    <w:uiPriority w:val="1"/>
    <w:qFormat/>
    <w:rsid w:val="00BA6ECE"/>
    <w:pPr>
      <w:spacing w:after="0" w:line="240" w:lineRule="auto"/>
    </w:pPr>
  </w:style>
  <w:style w:type="table" w:styleId="TableGrid">
    <w:name w:val="Table Grid"/>
    <w:basedOn w:val="TableNormal"/>
    <w:uiPriority w:val="59"/>
    <w:rsid w:val="00070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70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7029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5102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rsid w:val="00BD7D86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BD7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D7D86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">
    <w:name w:val="Body Text1"/>
    <w:basedOn w:val="Normal"/>
    <w:rsid w:val="00BD7D86"/>
    <w:p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A732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%3A%2F%2Fproactis.kayako.com%2F&amp;data=04%7C01%7Cjulie.evans%40whdarby.co.uk%7Ca6245ea277fe4aa0fdc908d88ac802cc%7Ca604de31153b44c593d43cd6238fad19%7C0%7C0%7C637411938943052664%7CUnknown%7CTWFpbGZsb3d8eyJWIjoiMC4wLjAwMDAiLCJQIjoiV2luMzIiLCJBTiI6Ik1haWwiLCJXVCI6Mn0%3D%7C1000&amp;sdata=VYGWF34WcC00FQ5bmSSWyfcAg%2FMiHgjR8BB9jI%2Bup3g%3D&amp;reserved=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contractsuppliers@proacti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B66227FE.dotm</Template>
  <TotalTime>0</TotalTime>
  <Pages>6</Pages>
  <Words>1053</Words>
  <Characters>6004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Caroline</dc:creator>
  <cp:lastModifiedBy>Lee, Nicola</cp:lastModifiedBy>
  <cp:revision>2</cp:revision>
  <dcterms:created xsi:type="dcterms:W3CDTF">2021-04-29T09:06:00Z</dcterms:created>
  <dcterms:modified xsi:type="dcterms:W3CDTF">2021-04-29T09:06:00Z</dcterms:modified>
</cp:coreProperties>
</file>