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0179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Air Compressors</w:t>
                                </w:r>
                              </w:p>
                              <w:p w:rsidR="00D40C93" w:rsidRP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May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0179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Air Compressors</w:t>
                          </w:r>
                        </w:p>
                        <w:p w:rsidR="00D40C93" w:rsidRP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May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0179B3"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Steve Till</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0179B3"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Steve Till</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proofErr w:type="spellStart"/>
                                <w:r w:rsidRPr="00EF434E">
                                  <w:rPr>
                                    <w:rFonts w:ascii="Franklin Gothic Book" w:hAnsi="Franklin Gothic Book"/>
                                    <w:b/>
                                    <w:bCs/>
                                    <w:spacing w:val="60"/>
                                    <w:sz w:val="22"/>
                                  </w:rPr>
                                  <w:t>Unitas</w:t>
                                </w:r>
                                <w:proofErr w:type="spellEnd"/>
                                <w:r w:rsidRPr="00EF434E">
                                  <w:rPr>
                                    <w:rFonts w:ascii="Franklin Gothic Book" w:hAnsi="Franklin Gothic Book"/>
                                    <w:b/>
                                    <w:bCs/>
                                    <w:spacing w:val="60"/>
                                    <w:sz w:val="22"/>
                                  </w:rPr>
                                  <w:t xml:space="preserve">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proofErr w:type="spellStart"/>
                          <w:r w:rsidRPr="00EF434E">
                            <w:rPr>
                              <w:rFonts w:ascii="Franklin Gothic Book" w:hAnsi="Franklin Gothic Book"/>
                              <w:b/>
                              <w:bCs/>
                              <w:spacing w:val="60"/>
                              <w:sz w:val="22"/>
                            </w:rPr>
                            <w:t>Unitas</w:t>
                          </w:r>
                          <w:proofErr w:type="spellEnd"/>
                          <w:r w:rsidRPr="00EF434E">
                            <w:rPr>
                              <w:rFonts w:ascii="Franklin Gothic Book" w:hAnsi="Franklin Gothic Book"/>
                              <w:b/>
                              <w:bCs/>
                              <w:spacing w:val="60"/>
                              <w:sz w:val="22"/>
                            </w:rPr>
                            <w:t xml:space="preserve">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C761FC">
            <w:pPr>
              <w:spacing w:before="60"/>
              <w:jc w:val="both"/>
              <w:rPr>
                <w:rFonts w:ascii="Franklin Gothic Book" w:hAnsi="Franklin Gothic Book" w:cs="Arial"/>
                <w:sz w:val="22"/>
                <w:szCs w:val="22"/>
              </w:rPr>
            </w:pPr>
            <w:r>
              <w:rPr>
                <w:rFonts w:ascii="Franklin Gothic Book" w:hAnsi="Franklin Gothic Book" w:cs="Arial"/>
                <w:sz w:val="22"/>
                <w:szCs w:val="22"/>
              </w:rPr>
              <w:t>Completion</w:t>
            </w:r>
            <w:r w:rsidR="00512385">
              <w:rPr>
                <w:rFonts w:ascii="Franklin Gothic Book" w:hAnsi="Franklin Gothic Book" w:cs="Arial"/>
                <w:sz w:val="22"/>
                <w:szCs w:val="22"/>
              </w:rPr>
              <w:t xml:space="preserve"> of</w:t>
            </w:r>
            <w:r>
              <w:rPr>
                <w:rFonts w:ascii="Franklin Gothic Book" w:hAnsi="Franklin Gothic Book" w:cs="Arial"/>
                <w:sz w:val="22"/>
                <w:szCs w:val="22"/>
              </w:rPr>
              <w:t xml:space="preserve"> </w:t>
            </w:r>
            <w:r w:rsidR="00512385">
              <w:rPr>
                <w:rFonts w:ascii="Franklin Gothic Book" w:hAnsi="Franklin Gothic Book" w:cs="Arial"/>
                <w:sz w:val="22"/>
                <w:szCs w:val="22"/>
              </w:rPr>
              <w:t xml:space="preserve">testing and full inspection </w:t>
            </w:r>
            <w:r w:rsidR="000179B3">
              <w:rPr>
                <w:rFonts w:ascii="Franklin Gothic Book" w:hAnsi="Franklin Gothic Book" w:cs="Arial"/>
                <w:sz w:val="22"/>
                <w:szCs w:val="22"/>
              </w:rPr>
              <w:t>of Air Compressors</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2F4F73">
              <w:rPr>
                <w:rFonts w:ascii="Franklin Gothic Book" w:hAnsi="Franklin Gothic Book" w:cs="Arial"/>
                <w:sz w:val="22"/>
                <w:szCs w:val="22"/>
              </w:rPr>
              <w:t>0</w:t>
            </w:r>
            <w:r w:rsidR="000179B3">
              <w:rPr>
                <w:rFonts w:ascii="Franklin Gothic Book" w:hAnsi="Franklin Gothic Book" w:cs="Arial"/>
                <w:sz w:val="22"/>
                <w:szCs w:val="22"/>
              </w:rPr>
              <w:t>1</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2F4F73" w:rsidP="00111298">
            <w:pPr>
              <w:spacing w:before="60"/>
              <w:jc w:val="both"/>
              <w:rPr>
                <w:rFonts w:ascii="Franklin Gothic Book" w:hAnsi="Franklin Gothic Book" w:cs="Arial"/>
                <w:sz w:val="22"/>
                <w:szCs w:val="22"/>
              </w:rPr>
            </w:pPr>
            <w:r>
              <w:rPr>
                <w:rFonts w:ascii="Franklin Gothic Book" w:hAnsi="Franklin Gothic Book" w:cs="Arial"/>
                <w:sz w:val="22"/>
                <w:szCs w:val="22"/>
              </w:rPr>
              <w:t>May</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F17D8D" w:rsidRPr="00B16D22" w:rsidRDefault="00F17D8D"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0179B3" w:rsidRDefault="000179B3" w:rsidP="000179B3">
      <w:pPr>
        <w:pStyle w:val="ListParagraph"/>
        <w:numPr>
          <w:ilvl w:val="0"/>
          <w:numId w:val="19"/>
        </w:numPr>
        <w:jc w:val="both"/>
      </w:pPr>
      <w:r>
        <w:t>To ensure that the servicing of air compressors and Atrium vents (powered by compressed air) is undertaken to the correct standards and manufacturer’s instructions to ensure continued safe operation and that all relevant documentation is completed and stored correctly.</w:t>
      </w:r>
    </w:p>
    <w:p w:rsidR="002F4F73" w:rsidRPr="00B16D22" w:rsidRDefault="002F4F73"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Pr="00B16D22" w:rsidRDefault="009B45E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0179B3" w:rsidRDefault="000179B3" w:rsidP="000179B3">
      <w:pPr>
        <w:pStyle w:val="ListParagraph"/>
        <w:numPr>
          <w:ilvl w:val="0"/>
          <w:numId w:val="32"/>
        </w:numPr>
        <w:jc w:val="both"/>
      </w:pPr>
      <w:r>
        <w:t xml:space="preserve">Carry out full health and safety inspection and service in accordance with HSG39 and also as per manufacturer’s instructions. The aims of which is to prevent risk or injury from the release of stored energy.  </w:t>
      </w:r>
    </w:p>
    <w:p w:rsidR="000179B3" w:rsidRDefault="000179B3" w:rsidP="000179B3">
      <w:pPr>
        <w:pStyle w:val="ListParagraph"/>
        <w:numPr>
          <w:ilvl w:val="0"/>
          <w:numId w:val="32"/>
        </w:numPr>
        <w:jc w:val="both"/>
      </w:pPr>
      <w:r>
        <w:t xml:space="preserve">Carry out full fire safety inspection, operational test, clean and service in accordance with the Regulatory Reform Order 2005, BS9999 and also as per manufacturer’s instructions. The aims of which are to prevent risk or injury from the defective operation of the vents.  </w:t>
      </w:r>
    </w:p>
    <w:p w:rsidR="000179B3" w:rsidRDefault="000179B3" w:rsidP="000179B3">
      <w:pPr>
        <w:pStyle w:val="ListParagraph"/>
        <w:numPr>
          <w:ilvl w:val="0"/>
          <w:numId w:val="32"/>
        </w:numPr>
        <w:jc w:val="both"/>
      </w:pPr>
      <w:r w:rsidRPr="00AD150E">
        <w:rPr>
          <w:b/>
        </w:rPr>
        <w:t>Note</w:t>
      </w:r>
      <w:r>
        <w:t xml:space="preserve"> - Quote is to include any consumable items (filters, oil, grease, washers etc.) and access equipment to service vents (MEWPs if required – note any powered access equipment must have the relevant loading and size to prevent potential damage to the surroundings when operated).</w:t>
      </w:r>
    </w:p>
    <w:p w:rsidR="002F4F73" w:rsidRPr="002F4F73" w:rsidRDefault="002F4F73" w:rsidP="000179B3">
      <w:pPr>
        <w:pStyle w:val="ListParagraph"/>
        <w:jc w:val="both"/>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0179B3" w:rsidRDefault="000179B3" w:rsidP="000179B3">
      <w:pPr>
        <w:pStyle w:val="ListParagraph"/>
        <w:numPr>
          <w:ilvl w:val="0"/>
          <w:numId w:val="32"/>
        </w:numPr>
        <w:jc w:val="both"/>
      </w:pPr>
      <w:r>
        <w:t>Annual</w:t>
      </w:r>
    </w:p>
    <w:p w:rsidR="00F53218" w:rsidRDefault="00F53218" w:rsidP="00F53218">
      <w:pPr>
        <w:jc w:val="both"/>
        <w:rPr>
          <w:u w:val="single"/>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0179B3" w:rsidRDefault="000179B3" w:rsidP="000179B3">
      <w:pPr>
        <w:pStyle w:val="ListParagraph"/>
        <w:numPr>
          <w:ilvl w:val="0"/>
          <w:numId w:val="32"/>
        </w:numPr>
        <w:jc w:val="both"/>
      </w:pPr>
      <w:r>
        <w:t>Health and Safety at Work Act 1974</w:t>
      </w:r>
    </w:p>
    <w:p w:rsidR="000179B3" w:rsidRDefault="000179B3" w:rsidP="000179B3">
      <w:pPr>
        <w:pStyle w:val="ListParagraph"/>
        <w:numPr>
          <w:ilvl w:val="0"/>
          <w:numId w:val="32"/>
        </w:numPr>
        <w:jc w:val="both"/>
      </w:pPr>
      <w:r>
        <w:t>Pressure Systems Safety Regulations 2000</w:t>
      </w:r>
    </w:p>
    <w:p w:rsidR="000179B3" w:rsidRDefault="000179B3" w:rsidP="000179B3">
      <w:pPr>
        <w:pStyle w:val="ListParagraph"/>
        <w:numPr>
          <w:ilvl w:val="0"/>
          <w:numId w:val="32"/>
        </w:numPr>
        <w:jc w:val="both"/>
      </w:pPr>
      <w:r w:rsidRPr="00003973">
        <w:t>Regulatory Reform (Fire Safety) Order 2005</w:t>
      </w:r>
    </w:p>
    <w:p w:rsidR="000179B3" w:rsidRDefault="000179B3" w:rsidP="000179B3">
      <w:pPr>
        <w:pStyle w:val="ListParagraph"/>
        <w:numPr>
          <w:ilvl w:val="0"/>
          <w:numId w:val="32"/>
        </w:numPr>
        <w:jc w:val="both"/>
      </w:pPr>
      <w:r>
        <w:t>Building regulation doc B fire safety</w:t>
      </w:r>
    </w:p>
    <w:p w:rsidR="000179B3" w:rsidRDefault="000179B3" w:rsidP="000179B3">
      <w:pPr>
        <w:pStyle w:val="ListParagraph"/>
        <w:numPr>
          <w:ilvl w:val="0"/>
          <w:numId w:val="32"/>
        </w:numPr>
        <w:jc w:val="both"/>
      </w:pPr>
      <w:r>
        <w:t>CIBSE guide E</w:t>
      </w:r>
    </w:p>
    <w:p w:rsidR="000179B3" w:rsidRDefault="000179B3" w:rsidP="000179B3">
      <w:pPr>
        <w:pStyle w:val="ListParagraph"/>
        <w:numPr>
          <w:ilvl w:val="0"/>
          <w:numId w:val="32"/>
        </w:numPr>
        <w:jc w:val="both"/>
      </w:pPr>
      <w:r>
        <w:t>HSE pubs fire safety and employers guide</w:t>
      </w:r>
    </w:p>
    <w:p w:rsidR="00565CF9" w:rsidRDefault="00565CF9" w:rsidP="000179B3">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565CF9" w:rsidRPr="00B16D22" w:rsidRDefault="00565CF9" w:rsidP="00565CF9">
      <w:pPr>
        <w:jc w:val="both"/>
        <w:rPr>
          <w:rFonts w:ascii="Franklin Gothic Book" w:hAnsi="Franklin Gothic Book"/>
          <w:kern w:val="0"/>
          <w:sz w:val="22"/>
          <w:szCs w:val="22"/>
          <w:u w:val="single"/>
          <w:lang w:eastAsia="en-GB"/>
        </w:rPr>
      </w:pPr>
    </w:p>
    <w:p w:rsidR="000179B3" w:rsidRPr="00917017" w:rsidRDefault="000179B3" w:rsidP="000179B3">
      <w:pPr>
        <w:jc w:val="both"/>
        <w:rPr>
          <w:rFonts w:cs="Arial"/>
          <w:szCs w:val="24"/>
          <w:u w:val="single"/>
        </w:rPr>
      </w:pPr>
      <w:r w:rsidRPr="00917017">
        <w:rPr>
          <w:rFonts w:cs="Arial"/>
          <w:szCs w:val="24"/>
          <w:u w:val="single"/>
        </w:rPr>
        <w:t>The Health and Safety at Work Act 1974 (HASAWA) lays down wide-ranging duties on employers. Employers must protect the 'health, safety and welfare' at work of all their employees, as well as others on their premises, including temps, casual workers, the self-employed, clients, visitors and the general public.</w:t>
      </w:r>
    </w:p>
    <w:p w:rsidR="000179B3" w:rsidRPr="00917017" w:rsidRDefault="000179B3" w:rsidP="000179B3">
      <w:pPr>
        <w:jc w:val="both"/>
        <w:rPr>
          <w:rFonts w:cs="Arial"/>
          <w:szCs w:val="24"/>
          <w:u w:val="single"/>
        </w:rPr>
      </w:pPr>
    </w:p>
    <w:p w:rsidR="000179B3" w:rsidRPr="00917017" w:rsidRDefault="000179B3" w:rsidP="000179B3">
      <w:pPr>
        <w:jc w:val="both"/>
        <w:rPr>
          <w:rFonts w:cs="Arial"/>
          <w:szCs w:val="24"/>
        </w:rPr>
      </w:pPr>
      <w:r w:rsidRPr="00917017">
        <w:rPr>
          <w:rFonts w:cs="Arial"/>
          <w:szCs w:val="24"/>
        </w:rPr>
        <w:t xml:space="preserve">Where an appropriate British or equivalent European Standard Specification or Code of Practice issued by any national Standards Institution or other equivalent is current, all construction operations, </w:t>
      </w:r>
      <w:r w:rsidRPr="00917017">
        <w:rPr>
          <w:rFonts w:cs="Arial"/>
          <w:szCs w:val="24"/>
        </w:rPr>
        <w:lastRenderedPageBreak/>
        <w:t>goods used or supplied shall, as a minimum requirement, be in accordance with that Standard or Code of Practice, without prejudice to any higher standard required by the Contract.</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Materials supplied to British Standards and EU standards must be forwarded with relevant manufacturer’s certification as required.</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The workmanship is to be of the best quality in accordance with the current BS and EU Code of Practice where such exists appropriate to the works.</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All goods and materials used on the works will be handled, stored and fixed in strict accordance with manufacturer’s instructions and details.</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All goods and materials used shall be new and fit for purpose.</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Re-conditioned or reclaimed goods shall not be used unless specifically instructed by the client.</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All components, goods and materials requiring replacement as part of maintenance or repairs should match those originally fitted and so far as possible shall be obtained from the original supplier.</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Every element of workmanship shall be carried out in strict accordance with the current British codes of practice, BS8000 “Workmanship on building sites”, European standards and good building practice at all times.</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All workmanship shall be carried out in order of priority of the project and run in a sequential route agreed by the client. Works should be carried out in an efficient, logical, methodical and cost effective manner.</w:t>
      </w:r>
    </w:p>
    <w:p w:rsidR="000179B3" w:rsidRPr="00917017" w:rsidRDefault="000179B3" w:rsidP="000179B3">
      <w:pPr>
        <w:jc w:val="both"/>
        <w:rPr>
          <w:rFonts w:cs="Arial"/>
          <w:szCs w:val="24"/>
        </w:rPr>
      </w:pPr>
    </w:p>
    <w:p w:rsidR="000179B3" w:rsidRPr="00917017" w:rsidRDefault="000179B3" w:rsidP="000179B3">
      <w:pPr>
        <w:jc w:val="both"/>
        <w:rPr>
          <w:rFonts w:cs="Arial"/>
          <w:szCs w:val="24"/>
        </w:rPr>
      </w:pPr>
      <w:r w:rsidRPr="00917017">
        <w:rPr>
          <w:rFonts w:cs="Arial"/>
          <w:szCs w:val="24"/>
        </w:rPr>
        <w:t>The following list refers to standards, specifications, recommended procedures, &amp; output quality.</w:t>
      </w:r>
    </w:p>
    <w:p w:rsidR="000179B3" w:rsidRPr="00917017" w:rsidRDefault="000179B3" w:rsidP="000179B3">
      <w:pPr>
        <w:jc w:val="both"/>
        <w:rPr>
          <w:rFonts w:cs="Arial"/>
          <w:szCs w:val="24"/>
        </w:rPr>
      </w:pPr>
      <w:r w:rsidRPr="00917017">
        <w:rPr>
          <w:rFonts w:cs="Arial"/>
          <w:szCs w:val="24"/>
        </w:rPr>
        <w:t>This list is by no means exhaustive. Notwithstanding the standards referred to hereunder, the Contractor will ensure full compliance with all relevant standards &amp; codes</w:t>
      </w:r>
    </w:p>
    <w:p w:rsidR="000179B3" w:rsidRPr="00917017" w:rsidRDefault="000179B3" w:rsidP="000179B3">
      <w:pPr>
        <w:jc w:val="both"/>
        <w:rPr>
          <w:rFonts w:cs="Arial"/>
          <w:b/>
          <w:szCs w:val="24"/>
        </w:rPr>
      </w:pPr>
    </w:p>
    <w:p w:rsidR="000179B3" w:rsidRPr="00917017" w:rsidRDefault="000179B3" w:rsidP="000179B3">
      <w:pPr>
        <w:jc w:val="both"/>
        <w:rPr>
          <w:rFonts w:cs="Arial"/>
          <w:b/>
          <w:szCs w:val="24"/>
        </w:rPr>
      </w:pPr>
      <w:r w:rsidRPr="00917017">
        <w:rPr>
          <w:rFonts w:cs="Arial"/>
          <w:b/>
          <w:szCs w:val="24"/>
        </w:rPr>
        <w:t>The Building Regulations 2010</w:t>
      </w:r>
    </w:p>
    <w:p w:rsidR="000179B3" w:rsidRPr="00917017" w:rsidRDefault="000179B3" w:rsidP="000179B3">
      <w:pPr>
        <w:jc w:val="both"/>
        <w:rPr>
          <w:rFonts w:cs="Arial"/>
          <w:szCs w:val="24"/>
        </w:rPr>
      </w:pPr>
    </w:p>
    <w:p w:rsidR="000179B3" w:rsidRPr="00544ABD" w:rsidRDefault="000179B3" w:rsidP="000179B3">
      <w:pPr>
        <w:pStyle w:val="ListParagraph"/>
        <w:numPr>
          <w:ilvl w:val="0"/>
          <w:numId w:val="37"/>
        </w:numPr>
        <w:jc w:val="both"/>
        <w:rPr>
          <w:rFonts w:cs="Arial"/>
          <w:szCs w:val="24"/>
        </w:rPr>
      </w:pPr>
      <w:r w:rsidRPr="00544ABD">
        <w:rPr>
          <w:rFonts w:cs="Arial"/>
          <w:szCs w:val="24"/>
        </w:rPr>
        <w:t>Approved Document Regulation 7: Materials and workmanship.</w:t>
      </w:r>
    </w:p>
    <w:p w:rsidR="000179B3" w:rsidRPr="00544ABD" w:rsidRDefault="000179B3" w:rsidP="000179B3">
      <w:pPr>
        <w:pStyle w:val="ListParagraph"/>
        <w:numPr>
          <w:ilvl w:val="0"/>
          <w:numId w:val="37"/>
        </w:numPr>
        <w:jc w:val="both"/>
        <w:rPr>
          <w:rFonts w:cs="Arial"/>
          <w:szCs w:val="24"/>
        </w:rPr>
      </w:pPr>
      <w:r w:rsidRPr="00544ABD">
        <w:rPr>
          <w:rFonts w:cs="Arial"/>
          <w:szCs w:val="24"/>
        </w:rPr>
        <w:t>Approved Document B: Fire safety - Volume 2 Buildings other than dwelling houses (2006 edition incorporating 2007, 2010 and 2013 amendments) (only applicable in England)</w:t>
      </w:r>
    </w:p>
    <w:p w:rsidR="000179B3" w:rsidRPr="00544ABD" w:rsidRDefault="000179B3" w:rsidP="000179B3">
      <w:pPr>
        <w:pStyle w:val="ListParagraph"/>
        <w:numPr>
          <w:ilvl w:val="0"/>
          <w:numId w:val="37"/>
        </w:numPr>
        <w:jc w:val="both"/>
        <w:rPr>
          <w:rFonts w:cs="Arial"/>
          <w:szCs w:val="24"/>
        </w:rPr>
      </w:pPr>
      <w:r w:rsidRPr="00544ABD">
        <w:rPr>
          <w:rFonts w:cs="Arial"/>
          <w:szCs w:val="24"/>
        </w:rPr>
        <w:t>Approved Document K: Protection from falling, collision and impact.</w:t>
      </w:r>
    </w:p>
    <w:p w:rsidR="000179B3" w:rsidRPr="00544ABD" w:rsidRDefault="000179B3" w:rsidP="000179B3">
      <w:pPr>
        <w:pStyle w:val="ListParagraph"/>
        <w:numPr>
          <w:ilvl w:val="0"/>
          <w:numId w:val="37"/>
        </w:numPr>
        <w:jc w:val="both"/>
        <w:rPr>
          <w:rFonts w:cs="Arial"/>
          <w:szCs w:val="24"/>
        </w:rPr>
      </w:pPr>
      <w:r w:rsidRPr="00544ABD">
        <w:rPr>
          <w:rFonts w:cs="Arial"/>
          <w:szCs w:val="24"/>
        </w:rPr>
        <w:t>Approved Document L: Conservation of fuel and power</w:t>
      </w:r>
    </w:p>
    <w:p w:rsidR="000179B3" w:rsidRPr="00544ABD" w:rsidRDefault="000179B3" w:rsidP="000179B3">
      <w:pPr>
        <w:pStyle w:val="ListParagraph"/>
        <w:numPr>
          <w:ilvl w:val="0"/>
          <w:numId w:val="37"/>
        </w:numPr>
        <w:jc w:val="both"/>
        <w:rPr>
          <w:rFonts w:cs="Arial"/>
          <w:szCs w:val="24"/>
        </w:rPr>
      </w:pPr>
      <w:r w:rsidRPr="00544ABD">
        <w:rPr>
          <w:rFonts w:cs="Arial"/>
          <w:szCs w:val="24"/>
        </w:rPr>
        <w:t>Approved Document M: Volume 2 – Access and use of buildings other than dwellings</w:t>
      </w:r>
    </w:p>
    <w:p w:rsidR="000179B3" w:rsidRDefault="000179B3" w:rsidP="000179B3">
      <w:pPr>
        <w:jc w:val="both"/>
        <w:rPr>
          <w:rFonts w:cs="Arial"/>
          <w:b/>
          <w:szCs w:val="24"/>
        </w:rPr>
      </w:pPr>
    </w:p>
    <w:p w:rsidR="000179B3" w:rsidRPr="00917017" w:rsidRDefault="000179B3" w:rsidP="000179B3">
      <w:pPr>
        <w:jc w:val="both"/>
        <w:rPr>
          <w:rFonts w:cs="Arial"/>
          <w:b/>
          <w:szCs w:val="24"/>
        </w:rPr>
      </w:pPr>
      <w:r w:rsidRPr="00917017">
        <w:rPr>
          <w:rFonts w:cs="Arial"/>
          <w:b/>
          <w:szCs w:val="24"/>
        </w:rPr>
        <w:t>British Standards</w:t>
      </w:r>
    </w:p>
    <w:p w:rsidR="000179B3" w:rsidRPr="00917017" w:rsidRDefault="000179B3" w:rsidP="000179B3">
      <w:pPr>
        <w:jc w:val="both"/>
        <w:rPr>
          <w:rFonts w:cs="Arial"/>
          <w:szCs w:val="24"/>
        </w:rPr>
      </w:pPr>
    </w:p>
    <w:p w:rsidR="000179B3" w:rsidRPr="00917017" w:rsidRDefault="000179B3" w:rsidP="000179B3">
      <w:pPr>
        <w:numPr>
          <w:ilvl w:val="0"/>
          <w:numId w:val="19"/>
        </w:numPr>
        <w:contextualSpacing/>
        <w:jc w:val="both"/>
        <w:rPr>
          <w:rFonts w:cs="Arial"/>
          <w:szCs w:val="24"/>
        </w:rPr>
      </w:pPr>
      <w:r w:rsidRPr="00917017">
        <w:rPr>
          <w:rFonts w:cs="Arial"/>
          <w:szCs w:val="24"/>
        </w:rPr>
        <w:t>BS EN 280:2013+A1:2015. Mobile elevating work platforms. Design calculations. Stability criteria. Construction. Safety. Examinations and tests.</w:t>
      </w:r>
    </w:p>
    <w:p w:rsidR="000179B3" w:rsidRPr="00917017" w:rsidRDefault="000179B3" w:rsidP="000179B3">
      <w:pPr>
        <w:numPr>
          <w:ilvl w:val="0"/>
          <w:numId w:val="19"/>
        </w:numPr>
        <w:contextualSpacing/>
        <w:rPr>
          <w:rFonts w:cs="Arial"/>
          <w:szCs w:val="24"/>
        </w:rPr>
      </w:pPr>
      <w:r w:rsidRPr="00917017">
        <w:rPr>
          <w:rFonts w:cs="Arial"/>
          <w:szCs w:val="24"/>
        </w:rPr>
        <w:t>BS EN 131-2:2010+A2:2017. BS EN 131-2+A2/COR1 Ladders. Part 2: Requirements, testing, marking</w:t>
      </w:r>
    </w:p>
    <w:p w:rsidR="000179B3" w:rsidRPr="00917017" w:rsidRDefault="000179B3" w:rsidP="000179B3">
      <w:pPr>
        <w:numPr>
          <w:ilvl w:val="0"/>
          <w:numId w:val="19"/>
        </w:numPr>
        <w:contextualSpacing/>
        <w:rPr>
          <w:rFonts w:cs="Arial"/>
          <w:szCs w:val="24"/>
        </w:rPr>
      </w:pPr>
      <w:r w:rsidRPr="00917017">
        <w:rPr>
          <w:rFonts w:cs="Arial"/>
          <w:szCs w:val="24"/>
        </w:rPr>
        <w:t>BS EN 1004. Mobile access and working towers made of prefabricated elements. Materials, dimensions, design loads, safety and performance requirements.</w:t>
      </w:r>
    </w:p>
    <w:p w:rsidR="000179B3" w:rsidRPr="00917017" w:rsidRDefault="000179B3" w:rsidP="000179B3">
      <w:pPr>
        <w:numPr>
          <w:ilvl w:val="0"/>
          <w:numId w:val="19"/>
        </w:numPr>
        <w:contextualSpacing/>
        <w:jc w:val="both"/>
        <w:rPr>
          <w:rFonts w:cs="Arial"/>
          <w:szCs w:val="24"/>
        </w:rPr>
      </w:pPr>
      <w:r w:rsidRPr="00917017">
        <w:rPr>
          <w:rFonts w:cs="Arial"/>
          <w:szCs w:val="24"/>
        </w:rPr>
        <w:t>BS EN 1298:1996. Mobile access and working towers. Rules and guidelines for the preparation of an instruction manual.</w:t>
      </w:r>
    </w:p>
    <w:p w:rsidR="000179B3" w:rsidRPr="00917017" w:rsidRDefault="000179B3" w:rsidP="000179B3">
      <w:pPr>
        <w:numPr>
          <w:ilvl w:val="0"/>
          <w:numId w:val="19"/>
        </w:numPr>
        <w:contextualSpacing/>
        <w:jc w:val="both"/>
        <w:rPr>
          <w:rFonts w:cs="Arial"/>
          <w:szCs w:val="24"/>
        </w:rPr>
      </w:pPr>
      <w:r w:rsidRPr="00917017">
        <w:rPr>
          <w:rFonts w:cs="Arial"/>
          <w:szCs w:val="24"/>
        </w:rPr>
        <w:t>BS EN 1495:1997+A2:2009. Lifting platforms. Mast climbing work platforms.</w:t>
      </w:r>
    </w:p>
    <w:p w:rsidR="000179B3" w:rsidRPr="00917017" w:rsidRDefault="000179B3" w:rsidP="000179B3">
      <w:pPr>
        <w:numPr>
          <w:ilvl w:val="0"/>
          <w:numId w:val="19"/>
        </w:numPr>
        <w:contextualSpacing/>
        <w:jc w:val="both"/>
        <w:rPr>
          <w:rFonts w:cs="Arial"/>
          <w:szCs w:val="24"/>
        </w:rPr>
      </w:pPr>
      <w:r w:rsidRPr="00917017">
        <w:rPr>
          <w:rFonts w:cs="Arial"/>
          <w:szCs w:val="24"/>
        </w:rPr>
        <w:t>BS EN 1808:2015. Safety requirements for suspended access equipment. Design calculations, stability criteria, construction. Examinations and tests.</w:t>
      </w:r>
    </w:p>
    <w:p w:rsidR="000179B3" w:rsidRPr="00917017" w:rsidRDefault="000179B3" w:rsidP="000179B3">
      <w:pPr>
        <w:numPr>
          <w:ilvl w:val="0"/>
          <w:numId w:val="19"/>
        </w:numPr>
        <w:contextualSpacing/>
        <w:rPr>
          <w:rFonts w:cs="Arial"/>
          <w:szCs w:val="24"/>
        </w:rPr>
      </w:pPr>
      <w:r w:rsidRPr="00917017">
        <w:rPr>
          <w:rFonts w:cs="Arial"/>
          <w:szCs w:val="24"/>
        </w:rPr>
        <w:t>BS EN 5395-1:2000.  Stairs, ladders and walkways.  Code of practice for the design and maintenance of straight stairs and winders.</w:t>
      </w:r>
    </w:p>
    <w:p w:rsidR="000179B3" w:rsidRPr="00917017" w:rsidRDefault="000179B3" w:rsidP="000179B3">
      <w:pPr>
        <w:numPr>
          <w:ilvl w:val="0"/>
          <w:numId w:val="19"/>
        </w:numPr>
        <w:contextualSpacing/>
        <w:rPr>
          <w:rFonts w:cs="Arial"/>
          <w:szCs w:val="24"/>
        </w:rPr>
      </w:pPr>
      <w:r w:rsidRPr="00917017">
        <w:rPr>
          <w:rFonts w:cs="Arial"/>
          <w:szCs w:val="24"/>
        </w:rPr>
        <w:t>BS 5974:2017. Planning, design, setting up and use of temporary suspended access equipment. Code of practice.</w:t>
      </w:r>
    </w:p>
    <w:p w:rsidR="000179B3" w:rsidRPr="00917017" w:rsidRDefault="000179B3" w:rsidP="000179B3">
      <w:pPr>
        <w:numPr>
          <w:ilvl w:val="0"/>
          <w:numId w:val="19"/>
        </w:numPr>
        <w:contextualSpacing/>
        <w:rPr>
          <w:rFonts w:cs="Arial"/>
          <w:szCs w:val="24"/>
        </w:rPr>
      </w:pPr>
      <w:r w:rsidRPr="00917017">
        <w:rPr>
          <w:rFonts w:cs="Arial"/>
          <w:szCs w:val="24"/>
        </w:rPr>
        <w:t>BS 7121-3:2017. Code of practice for safe use of cranes. Mobile cranes</w:t>
      </w:r>
    </w:p>
    <w:p w:rsidR="000179B3" w:rsidRPr="00917017" w:rsidRDefault="000179B3" w:rsidP="000179B3">
      <w:pPr>
        <w:numPr>
          <w:ilvl w:val="0"/>
          <w:numId w:val="19"/>
        </w:numPr>
        <w:contextualSpacing/>
        <w:rPr>
          <w:rFonts w:cs="Arial"/>
          <w:szCs w:val="24"/>
        </w:rPr>
      </w:pPr>
      <w:r w:rsidRPr="00917017">
        <w:rPr>
          <w:rFonts w:cs="Arial"/>
          <w:szCs w:val="24"/>
        </w:rPr>
        <w:t>BS 7212:2016. Code of practice for the safe use of construction hoists.</w:t>
      </w:r>
    </w:p>
    <w:p w:rsidR="000179B3" w:rsidRPr="00917017" w:rsidRDefault="000179B3" w:rsidP="000179B3">
      <w:pPr>
        <w:numPr>
          <w:ilvl w:val="0"/>
          <w:numId w:val="19"/>
        </w:numPr>
        <w:contextualSpacing/>
        <w:rPr>
          <w:rFonts w:cs="Arial"/>
          <w:szCs w:val="24"/>
        </w:rPr>
      </w:pPr>
      <w:r w:rsidRPr="00917017">
        <w:rPr>
          <w:rFonts w:cs="Arial"/>
          <w:szCs w:val="24"/>
        </w:rPr>
        <w:t>BS 7981:2017. Code of practice for the installation, maintenance, thorough examination and safe use of mast climbing work platforms (MCWPs).</w:t>
      </w:r>
    </w:p>
    <w:p w:rsidR="000179B3" w:rsidRPr="00917017" w:rsidRDefault="000179B3" w:rsidP="000179B3">
      <w:pPr>
        <w:numPr>
          <w:ilvl w:val="0"/>
          <w:numId w:val="19"/>
        </w:numPr>
        <w:contextualSpacing/>
        <w:rPr>
          <w:rFonts w:cs="Arial"/>
          <w:szCs w:val="24"/>
        </w:rPr>
      </w:pPr>
      <w:r w:rsidRPr="00917017">
        <w:rPr>
          <w:rFonts w:cs="Arial"/>
          <w:szCs w:val="24"/>
        </w:rPr>
        <w:lastRenderedPageBreak/>
        <w:t>BS 8454:2006. Code of practice for the delivery of training and education for work at height and rescue.</w:t>
      </w:r>
    </w:p>
    <w:p w:rsidR="000179B3" w:rsidRPr="00917017" w:rsidRDefault="000179B3" w:rsidP="000179B3">
      <w:pPr>
        <w:numPr>
          <w:ilvl w:val="0"/>
          <w:numId w:val="19"/>
        </w:numPr>
        <w:contextualSpacing/>
        <w:rPr>
          <w:rFonts w:cs="Arial"/>
          <w:szCs w:val="24"/>
        </w:rPr>
      </w:pPr>
      <w:r w:rsidRPr="00917017">
        <w:rPr>
          <w:rFonts w:cs="Arial"/>
          <w:szCs w:val="24"/>
        </w:rPr>
        <w:t>BS 8460:2017. Code of practice for the safe use of MEWPS.</w:t>
      </w:r>
    </w:p>
    <w:p w:rsidR="000179B3" w:rsidRPr="00917017" w:rsidRDefault="000179B3" w:rsidP="000179B3">
      <w:pPr>
        <w:numPr>
          <w:ilvl w:val="0"/>
          <w:numId w:val="19"/>
        </w:numPr>
        <w:contextualSpacing/>
        <w:rPr>
          <w:rFonts w:cs="Arial"/>
          <w:szCs w:val="24"/>
        </w:rPr>
      </w:pPr>
      <w:r w:rsidRPr="00917017">
        <w:rPr>
          <w:rFonts w:cs="Arial"/>
          <w:szCs w:val="24"/>
        </w:rPr>
        <w:t>BS 8560 AMD 1. Code of practice for the design of buildings incorporating safe work at height.</w:t>
      </w:r>
    </w:p>
    <w:p w:rsidR="000179B3" w:rsidRPr="00917017" w:rsidRDefault="000179B3" w:rsidP="000179B3">
      <w:pPr>
        <w:numPr>
          <w:ilvl w:val="0"/>
          <w:numId w:val="19"/>
        </w:numPr>
        <w:contextualSpacing/>
        <w:rPr>
          <w:rFonts w:cs="Arial"/>
          <w:szCs w:val="24"/>
        </w:rPr>
      </w:pPr>
      <w:r w:rsidRPr="00917017">
        <w:rPr>
          <w:rFonts w:cs="Arial"/>
          <w:szCs w:val="24"/>
        </w:rPr>
        <w:t xml:space="preserve">BS 8560:2012. Code of practice for the design of buildings incorporating safe work at height. </w:t>
      </w:r>
    </w:p>
    <w:p w:rsidR="000179B3" w:rsidRPr="00917017" w:rsidRDefault="000179B3" w:rsidP="000179B3">
      <w:pPr>
        <w:numPr>
          <w:ilvl w:val="0"/>
          <w:numId w:val="19"/>
        </w:numPr>
        <w:contextualSpacing/>
        <w:rPr>
          <w:rFonts w:cs="Arial"/>
          <w:szCs w:val="24"/>
        </w:rPr>
      </w:pPr>
      <w:r w:rsidRPr="00917017">
        <w:rPr>
          <w:rFonts w:cs="Arial"/>
          <w:szCs w:val="24"/>
        </w:rPr>
        <w:t>BS 8620:2016. Low level work platform with one working platform with side protection for use by one person with a maximum working platform height no greater than 2.5 m. Specification.</w:t>
      </w:r>
    </w:p>
    <w:p w:rsidR="000179B3" w:rsidRPr="00917017" w:rsidRDefault="000179B3" w:rsidP="000179B3">
      <w:pPr>
        <w:numPr>
          <w:ilvl w:val="0"/>
          <w:numId w:val="19"/>
        </w:numPr>
        <w:contextualSpacing/>
        <w:rPr>
          <w:rFonts w:cs="Arial"/>
          <w:szCs w:val="24"/>
        </w:rPr>
      </w:pPr>
      <w:r w:rsidRPr="00917017">
        <w:rPr>
          <w:rFonts w:cs="Arial"/>
          <w:szCs w:val="24"/>
        </w:rPr>
        <w:t>BS 9102:2014. Code of practice for safe working on lifting platforms.</w:t>
      </w:r>
    </w:p>
    <w:p w:rsidR="000179B3" w:rsidRPr="00917017" w:rsidRDefault="000179B3" w:rsidP="000179B3">
      <w:pPr>
        <w:numPr>
          <w:ilvl w:val="0"/>
          <w:numId w:val="19"/>
        </w:numPr>
        <w:contextualSpacing/>
        <w:rPr>
          <w:rFonts w:cs="Arial"/>
          <w:szCs w:val="24"/>
        </w:rPr>
      </w:pPr>
      <w:r w:rsidRPr="00917017">
        <w:rPr>
          <w:rFonts w:cs="Arial"/>
          <w:szCs w:val="24"/>
        </w:rPr>
        <w:t>BS EN 12811-3:2002. Temporary works equipment. Load testing</w:t>
      </w:r>
    </w:p>
    <w:p w:rsidR="000179B3" w:rsidRPr="00917017" w:rsidRDefault="000179B3" w:rsidP="000179B3">
      <w:pPr>
        <w:numPr>
          <w:ilvl w:val="0"/>
          <w:numId w:val="19"/>
        </w:numPr>
        <w:contextualSpacing/>
        <w:rPr>
          <w:rFonts w:cs="Arial"/>
          <w:szCs w:val="24"/>
        </w:rPr>
      </w:pPr>
      <w:r w:rsidRPr="00917017">
        <w:rPr>
          <w:rFonts w:cs="Arial"/>
          <w:szCs w:val="24"/>
        </w:rPr>
        <w:t>BS EN 12811-4:2013. Temporary works equipment. Protection fans for scaffolds. Performance requirements and product design</w:t>
      </w:r>
    </w:p>
    <w:p w:rsidR="000179B3" w:rsidRPr="00917017" w:rsidRDefault="000179B3" w:rsidP="000179B3">
      <w:pPr>
        <w:numPr>
          <w:ilvl w:val="0"/>
          <w:numId w:val="19"/>
        </w:numPr>
        <w:contextualSpacing/>
        <w:rPr>
          <w:rFonts w:cs="Arial"/>
          <w:szCs w:val="24"/>
        </w:rPr>
      </w:pPr>
      <w:r w:rsidRPr="00917017">
        <w:rPr>
          <w:rFonts w:cs="Arial"/>
          <w:szCs w:val="24"/>
        </w:rPr>
        <w:t>BS ISO 16653-1:2008. Mobile elevating work platforms. Design, calculations, safety requirements and test methods relative to special features. MEWPs with retractable guardrail systems</w:t>
      </w:r>
    </w:p>
    <w:p w:rsidR="000179B3" w:rsidRPr="00917017" w:rsidRDefault="000179B3" w:rsidP="000179B3">
      <w:pPr>
        <w:numPr>
          <w:ilvl w:val="0"/>
          <w:numId w:val="19"/>
        </w:numPr>
        <w:contextualSpacing/>
        <w:jc w:val="both"/>
        <w:rPr>
          <w:rFonts w:cs="Arial"/>
          <w:szCs w:val="24"/>
        </w:rPr>
      </w:pPr>
      <w:r w:rsidRPr="00917017">
        <w:rPr>
          <w:rFonts w:cs="Arial"/>
          <w:szCs w:val="24"/>
        </w:rPr>
        <w:t>BS EN 12810-2:2003. Facade scaffolds made of prefabricated components. Particular methods of structural design</w:t>
      </w:r>
    </w:p>
    <w:p w:rsidR="000179B3" w:rsidRPr="00917017" w:rsidRDefault="000179B3" w:rsidP="000179B3">
      <w:pPr>
        <w:numPr>
          <w:ilvl w:val="0"/>
          <w:numId w:val="19"/>
        </w:numPr>
        <w:contextualSpacing/>
        <w:jc w:val="both"/>
        <w:rPr>
          <w:rFonts w:cs="Arial"/>
          <w:szCs w:val="24"/>
        </w:rPr>
      </w:pPr>
      <w:r w:rsidRPr="00917017">
        <w:rPr>
          <w:rFonts w:cs="Arial"/>
          <w:szCs w:val="24"/>
        </w:rPr>
        <w:t>BS EN 12811-1:2003. Temporary works equipment. Scaffolds. Performance requirements and general design</w:t>
      </w:r>
    </w:p>
    <w:p w:rsidR="000179B3" w:rsidRPr="00917017" w:rsidRDefault="000179B3" w:rsidP="000179B3">
      <w:pPr>
        <w:numPr>
          <w:ilvl w:val="0"/>
          <w:numId w:val="19"/>
        </w:numPr>
        <w:contextualSpacing/>
        <w:jc w:val="both"/>
        <w:rPr>
          <w:rFonts w:cs="Arial"/>
          <w:szCs w:val="24"/>
        </w:rPr>
      </w:pPr>
      <w:r w:rsidRPr="00917017">
        <w:rPr>
          <w:rFonts w:cs="Arial"/>
          <w:szCs w:val="24"/>
        </w:rPr>
        <w:t>BS EN 12811-2:2004. Temporary works equipment. Information on materials</w:t>
      </w:r>
    </w:p>
    <w:p w:rsidR="000179B3" w:rsidRDefault="000179B3" w:rsidP="000179B3">
      <w:pPr>
        <w:jc w:val="both"/>
        <w:rPr>
          <w:rFonts w:cs="Arial"/>
          <w:b/>
          <w:szCs w:val="24"/>
        </w:rPr>
      </w:pPr>
    </w:p>
    <w:p w:rsidR="000179B3" w:rsidRDefault="000179B3" w:rsidP="000179B3">
      <w:pPr>
        <w:jc w:val="both"/>
        <w:rPr>
          <w:rFonts w:cs="Arial"/>
          <w:b/>
          <w:szCs w:val="24"/>
        </w:rPr>
      </w:pPr>
    </w:p>
    <w:p w:rsidR="000179B3" w:rsidRPr="00917017" w:rsidRDefault="000179B3" w:rsidP="000179B3">
      <w:pPr>
        <w:jc w:val="both"/>
        <w:rPr>
          <w:rFonts w:cs="Arial"/>
          <w:b/>
          <w:szCs w:val="24"/>
        </w:rPr>
      </w:pPr>
      <w:r w:rsidRPr="00917017">
        <w:rPr>
          <w:rFonts w:cs="Arial"/>
          <w:b/>
          <w:szCs w:val="24"/>
        </w:rPr>
        <w:t>Publicly available specifications</w:t>
      </w:r>
    </w:p>
    <w:p w:rsidR="000179B3" w:rsidRPr="00917017" w:rsidRDefault="000179B3" w:rsidP="000179B3">
      <w:pPr>
        <w:jc w:val="both"/>
        <w:rPr>
          <w:rFonts w:cs="Arial"/>
          <w:szCs w:val="24"/>
        </w:rPr>
      </w:pPr>
    </w:p>
    <w:p w:rsidR="000179B3" w:rsidRPr="00917017" w:rsidRDefault="000179B3" w:rsidP="000179B3">
      <w:pPr>
        <w:numPr>
          <w:ilvl w:val="0"/>
          <w:numId w:val="36"/>
        </w:numPr>
        <w:contextualSpacing/>
        <w:rPr>
          <w:rFonts w:cs="Arial"/>
          <w:szCs w:val="24"/>
        </w:rPr>
      </w:pPr>
      <w:r w:rsidRPr="00917017">
        <w:rPr>
          <w:rFonts w:cs="Arial"/>
          <w:szCs w:val="24"/>
        </w:rPr>
        <w:t>PAS 7:2013. Fire risk management system. Specification.</w:t>
      </w:r>
    </w:p>
    <w:p w:rsidR="000179B3" w:rsidRPr="00917017" w:rsidRDefault="000179B3" w:rsidP="000179B3">
      <w:pPr>
        <w:numPr>
          <w:ilvl w:val="0"/>
          <w:numId w:val="36"/>
        </w:numPr>
        <w:contextualSpacing/>
        <w:rPr>
          <w:rFonts w:cs="Arial"/>
          <w:szCs w:val="24"/>
        </w:rPr>
      </w:pPr>
      <w:r w:rsidRPr="00917017">
        <w:rPr>
          <w:rFonts w:cs="Arial"/>
          <w:szCs w:val="24"/>
        </w:rPr>
        <w:t>PAS 79:2012. Fire Risk Assessment. Guidance and a recommended methodology.</w:t>
      </w:r>
    </w:p>
    <w:p w:rsidR="000179B3" w:rsidRPr="00917017" w:rsidRDefault="000179B3" w:rsidP="000179B3">
      <w:pPr>
        <w:numPr>
          <w:ilvl w:val="0"/>
          <w:numId w:val="36"/>
        </w:numPr>
        <w:contextualSpacing/>
        <w:rPr>
          <w:rFonts w:cs="Arial"/>
          <w:szCs w:val="24"/>
        </w:rPr>
      </w:pPr>
      <w:r w:rsidRPr="00917017">
        <w:rPr>
          <w:rFonts w:cs="Arial"/>
          <w:szCs w:val="24"/>
        </w:rPr>
        <w:t>PAS 8812:2016. Temporary works. Application of European Standards in design. Guide.</w:t>
      </w:r>
    </w:p>
    <w:p w:rsidR="00F53218" w:rsidRDefault="00F53218" w:rsidP="00F53218">
      <w:pPr>
        <w:pStyle w:val="ListParagraph"/>
        <w:jc w:val="both"/>
      </w:pPr>
      <w:bookmarkStart w:id="0" w:name="_GoBack"/>
      <w:bookmarkEnd w:id="0"/>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Items failing test must be clearly highlighted and notified to the site responsible person.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 full list of failures and reason for failure shall be emailed to the contract officer within 4hrs of site completion.</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w:t>
      </w:r>
      <w:r w:rsidR="00D63706">
        <w:rPr>
          <w:rFonts w:ascii="Franklin Gothic Book" w:hAnsi="Franklin Gothic Book"/>
          <w:sz w:val="22"/>
          <w:szCs w:val="22"/>
        </w:rPr>
        <w:t>y site at risk due to</w:t>
      </w:r>
      <w:r w:rsidRPr="00F53218">
        <w:rPr>
          <w:rFonts w:ascii="Franklin Gothic Book" w:hAnsi="Franklin Gothic Book"/>
          <w:sz w:val="22"/>
          <w:szCs w:val="22"/>
        </w:rPr>
        <w:t xml:space="preserve"> non-operational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Uplift percentage required for materials purchased on behalf of the contract</w:t>
      </w:r>
    </w:p>
    <w:p w:rsidR="00F53218" w:rsidRPr="00F53218" w:rsidRDefault="00F53218" w:rsidP="00F53218">
      <w:pPr>
        <w:pStyle w:val="ListParagraph"/>
        <w:numPr>
          <w:ilvl w:val="0"/>
          <w:numId w:val="20"/>
        </w:numPr>
        <w:jc w:val="both"/>
        <w:rPr>
          <w:rFonts w:ascii="Franklin Gothic Book" w:hAnsi="Franklin Gothic Book"/>
          <w:sz w:val="22"/>
          <w:szCs w:val="22"/>
        </w:rPr>
      </w:pPr>
      <w:proofErr w:type="spellStart"/>
      <w:r w:rsidRPr="00F53218">
        <w:rPr>
          <w:rFonts w:ascii="Franklin Gothic Book" w:hAnsi="Franklin Gothic Book"/>
          <w:sz w:val="22"/>
          <w:szCs w:val="22"/>
        </w:rPr>
        <w:t>Daywork</w:t>
      </w:r>
      <w:proofErr w:type="spellEnd"/>
      <w:r w:rsidRPr="00F53218">
        <w:rPr>
          <w:rFonts w:ascii="Franklin Gothic Book" w:hAnsi="Franklin Gothic Book"/>
          <w:sz w:val="22"/>
          <w:szCs w:val="22"/>
        </w:rPr>
        <w:t xml:space="preserve"> rate – to include for operative(s), vehicle and sundry plant normally used to carry out their work</w:t>
      </w:r>
      <w:r w:rsidR="002F4F73">
        <w:rPr>
          <w:rFonts w:ascii="Franklin Gothic Book" w:hAnsi="Franklin Gothic Book"/>
          <w:sz w:val="22"/>
          <w:szCs w:val="22"/>
        </w:rPr>
        <w:t xml:space="preserve"> </w:t>
      </w:r>
      <w:r w:rsidR="002F4F73" w:rsidRPr="002F4F73">
        <w:rPr>
          <w:rFonts w:ascii="Franklin Gothic Book" w:hAnsi="Franklin Gothic Book"/>
          <w:sz w:val="22"/>
          <w:szCs w:val="22"/>
          <w:u w:val="single"/>
        </w:rPr>
        <w:t>( for works on site in excess of the call-out period )</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2F4F73" w:rsidRDefault="002F4F73"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F14279" w:rsidRPr="002F4F73" w:rsidRDefault="001F02CB" w:rsidP="00F14279">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Prior to commencement the contractor is to locate, temporarily protect, and/or disconnect as required, any services or utilities affected by works specified. The contractor must ensure subsequent reconnection of the said services upon completion ensuring minimal disturbance to </w:t>
      </w:r>
      <w:r w:rsidRPr="00743ED2">
        <w:rPr>
          <w:rFonts w:ascii="Franklin Gothic Book" w:hAnsi="Franklin Gothic Book"/>
          <w:kern w:val="0"/>
          <w:sz w:val="22"/>
          <w:szCs w:val="22"/>
          <w:lang w:eastAsia="en-GB"/>
        </w:rPr>
        <w:lastRenderedPageBreak/>
        <w:t>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2F4F73" w:rsidRDefault="002F4F73"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2F4F73" w:rsidRDefault="002F4F73" w:rsidP="00012E08">
      <w:pPr>
        <w:autoSpaceDE w:val="0"/>
        <w:autoSpaceDN w:val="0"/>
        <w:adjustRightInd w:val="0"/>
        <w:rPr>
          <w:rFonts w:ascii="Franklin Gothic Book" w:hAnsi="Franklin Gothic Book"/>
          <w:kern w:val="0"/>
          <w:sz w:val="22"/>
          <w:szCs w:val="22"/>
          <w:lang w:eastAsia="en-GB"/>
        </w:rPr>
      </w:pP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79B3" w:rsidRPr="000179B3">
          <w:rPr>
            <w:b/>
            <w:bCs/>
            <w:noProof/>
          </w:rPr>
          <w:t>7</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0179B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0179B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0179B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FCEE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07159A"/>
    <w:multiLevelType w:val="hybridMultilevel"/>
    <w:tmpl w:val="96A4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DB6932"/>
    <w:multiLevelType w:val="hybridMultilevel"/>
    <w:tmpl w:val="DE26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3">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4">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5">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
  </w:num>
  <w:num w:numId="3">
    <w:abstractNumId w:val="32"/>
  </w:num>
  <w:num w:numId="4">
    <w:abstractNumId w:val="33"/>
  </w:num>
  <w:num w:numId="5">
    <w:abstractNumId w:val="24"/>
  </w:num>
  <w:num w:numId="6">
    <w:abstractNumId w:val="29"/>
  </w:num>
  <w:num w:numId="7">
    <w:abstractNumId w:val="30"/>
  </w:num>
  <w:num w:numId="8">
    <w:abstractNumId w:val="31"/>
  </w:num>
  <w:num w:numId="9">
    <w:abstractNumId w:val="21"/>
  </w:num>
  <w:num w:numId="10">
    <w:abstractNumId w:val="28"/>
  </w:num>
  <w:num w:numId="11">
    <w:abstractNumId w:val="6"/>
  </w:num>
  <w:num w:numId="12">
    <w:abstractNumId w:val="36"/>
  </w:num>
  <w:num w:numId="13">
    <w:abstractNumId w:val="22"/>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5"/>
  </w:num>
  <w:num w:numId="24">
    <w:abstractNumId w:val="20"/>
  </w:num>
  <w:num w:numId="25">
    <w:abstractNumId w:val="35"/>
  </w:num>
  <w:num w:numId="26">
    <w:abstractNumId w:val="18"/>
  </w:num>
  <w:num w:numId="27">
    <w:abstractNumId w:val="12"/>
  </w:num>
  <w:num w:numId="28">
    <w:abstractNumId w:val="26"/>
  </w:num>
  <w:num w:numId="29">
    <w:abstractNumId w:val="14"/>
  </w:num>
  <w:num w:numId="30">
    <w:abstractNumId w:val="3"/>
  </w:num>
  <w:num w:numId="31">
    <w:abstractNumId w:val="23"/>
  </w:num>
  <w:num w:numId="32">
    <w:abstractNumId w:val="1"/>
  </w:num>
  <w:num w:numId="33">
    <w:abstractNumId w:val="27"/>
  </w:num>
  <w:num w:numId="34">
    <w:abstractNumId w:val="16"/>
  </w:num>
  <w:num w:numId="35">
    <w:abstractNumId w:val="19"/>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179B3"/>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2F4F73"/>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56B3F"/>
    <w:rsid w:val="00665947"/>
    <w:rsid w:val="0067321A"/>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1EB7"/>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1FC"/>
    <w:rsid w:val="00C7747A"/>
    <w:rsid w:val="00C81F0A"/>
    <w:rsid w:val="00C85DB6"/>
    <w:rsid w:val="00C9190D"/>
    <w:rsid w:val="00C94009"/>
    <w:rsid w:val="00C9432A"/>
    <w:rsid w:val="00C9759F"/>
    <w:rsid w:val="00CA05AC"/>
    <w:rsid w:val="00CB2A6C"/>
    <w:rsid w:val="00CC0649"/>
    <w:rsid w:val="00CC1324"/>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100C"/>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1E59C-0E7F-430B-BDD4-FB245668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2913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Steve Till</dc:creator>
  <cp:lastModifiedBy>Paul Bossons</cp:lastModifiedBy>
  <cp:revision>5</cp:revision>
  <cp:lastPrinted>2018-07-02T11:08:00Z</cp:lastPrinted>
  <dcterms:created xsi:type="dcterms:W3CDTF">2019-04-11T14:11:00Z</dcterms:created>
  <dcterms:modified xsi:type="dcterms:W3CDTF">2019-05-14T14:52:00Z</dcterms:modified>
</cp:coreProperties>
</file>