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A0" w:rsidRPr="00425DA0" w:rsidRDefault="00425DA0" w:rsidP="00425DA0">
      <w:pPr>
        <w:jc w:val="both"/>
        <w:rPr>
          <w:i/>
          <w:iCs/>
          <w:sz w:val="24"/>
          <w:szCs w:val="24"/>
          <w:u w:val="single"/>
        </w:rPr>
      </w:pPr>
      <w:bookmarkStart w:id="0" w:name="_GoBack"/>
      <w:bookmarkEnd w:id="0"/>
      <w:r w:rsidRPr="00425DA0">
        <w:rPr>
          <w:b/>
          <w:bCs/>
          <w:i/>
          <w:iCs/>
          <w:sz w:val="24"/>
          <w:szCs w:val="24"/>
        </w:rPr>
        <w:t xml:space="preserve">Service A </w:t>
      </w:r>
      <w:r w:rsidRPr="008D47A8">
        <w:rPr>
          <w:b/>
          <w:bCs/>
          <w:i/>
          <w:iCs/>
          <w:color w:val="1F497D" w:themeColor="dark2"/>
          <w:sz w:val="24"/>
          <w:szCs w:val="24"/>
          <w:highlight w:val="cyan"/>
        </w:rPr>
        <w:t>STILL PROVIDED AND REQUIRED TO CONTINUE</w:t>
      </w:r>
      <w:r w:rsidR="008D47A8" w:rsidRPr="008D47A8">
        <w:rPr>
          <w:b/>
          <w:bCs/>
          <w:i/>
          <w:iCs/>
          <w:color w:val="1F497D" w:themeColor="dark2"/>
          <w:sz w:val="24"/>
          <w:szCs w:val="24"/>
          <w:highlight w:val="cyan"/>
        </w:rPr>
        <w:t xml:space="preserve"> – annual income </w:t>
      </w:r>
      <w:r w:rsidR="008D47A8">
        <w:rPr>
          <w:b/>
          <w:bCs/>
          <w:i/>
          <w:iCs/>
          <w:color w:val="1F497D" w:themeColor="dark2"/>
          <w:sz w:val="24"/>
          <w:szCs w:val="24"/>
          <w:highlight w:val="cyan"/>
        </w:rPr>
        <w:t xml:space="preserve">p.a. </w:t>
      </w:r>
      <w:r w:rsidR="008D47A8" w:rsidRPr="008D47A8">
        <w:rPr>
          <w:b/>
          <w:bCs/>
          <w:i/>
          <w:iCs/>
          <w:color w:val="1F497D" w:themeColor="dark2"/>
          <w:sz w:val="24"/>
          <w:szCs w:val="24"/>
          <w:highlight w:val="cyan"/>
        </w:rPr>
        <w:t>now is circa £80k 2018/19</w:t>
      </w:r>
    </w:p>
    <w:p w:rsidR="00425DA0" w:rsidRPr="00425DA0" w:rsidRDefault="00425DA0" w:rsidP="00425DA0">
      <w:pPr>
        <w:jc w:val="both"/>
        <w:rPr>
          <w:i/>
          <w:iCs/>
          <w:sz w:val="24"/>
          <w:szCs w:val="24"/>
        </w:rPr>
      </w:pPr>
      <w:r w:rsidRPr="00425DA0">
        <w:rPr>
          <w:i/>
          <w:iCs/>
          <w:sz w:val="24"/>
          <w:szCs w:val="24"/>
        </w:rPr>
        <w:t>Civil and structural engineering design, demolition services, checking of structural and drainage calculations, landscape architectural design, foul and surface water drainage design, drainage design work, supervision of drainage maintenance work and drainage minor capital works and the provision of services as part of the Residual Highways Agreement in respect of the Countryside Access Service, by the insured’s Engineering and Special Projects department.</w:t>
      </w:r>
    </w:p>
    <w:p w:rsidR="00425DA0" w:rsidRPr="00425DA0" w:rsidRDefault="00425DA0" w:rsidP="00425DA0">
      <w:pPr>
        <w:jc w:val="both"/>
        <w:rPr>
          <w:i/>
          <w:iCs/>
          <w:sz w:val="24"/>
          <w:szCs w:val="24"/>
        </w:rPr>
      </w:pPr>
    </w:p>
    <w:p w:rsidR="00425DA0" w:rsidRPr="00425DA0" w:rsidRDefault="00425DA0" w:rsidP="00425DA0">
      <w:pPr>
        <w:jc w:val="both"/>
        <w:rPr>
          <w:i/>
          <w:iCs/>
          <w:sz w:val="24"/>
          <w:szCs w:val="24"/>
        </w:rPr>
      </w:pPr>
      <w:r w:rsidRPr="00425DA0">
        <w:rPr>
          <w:i/>
          <w:iCs/>
          <w:sz w:val="24"/>
          <w:szCs w:val="24"/>
        </w:rPr>
        <w:t>Retroactive date                                                30 September 1998</w:t>
      </w:r>
    </w:p>
    <w:p w:rsidR="00425DA0" w:rsidRPr="00425DA0" w:rsidRDefault="00425DA0" w:rsidP="00425DA0">
      <w:pPr>
        <w:jc w:val="both"/>
        <w:rPr>
          <w:i/>
          <w:iCs/>
          <w:sz w:val="24"/>
          <w:szCs w:val="24"/>
        </w:rPr>
      </w:pPr>
      <w:r w:rsidRPr="00425DA0">
        <w:rPr>
          <w:i/>
          <w:iCs/>
          <w:sz w:val="24"/>
          <w:szCs w:val="24"/>
        </w:rPr>
        <w:t>Limit of indemnity                                             £5,000,000</w:t>
      </w:r>
    </w:p>
    <w:p w:rsidR="00425DA0" w:rsidRPr="00425DA0" w:rsidRDefault="00425DA0" w:rsidP="00425DA0">
      <w:pPr>
        <w:jc w:val="both"/>
        <w:rPr>
          <w:i/>
          <w:iCs/>
          <w:sz w:val="24"/>
          <w:szCs w:val="24"/>
        </w:rPr>
      </w:pPr>
      <w:r w:rsidRPr="00425DA0">
        <w:rPr>
          <w:i/>
          <w:iCs/>
          <w:sz w:val="24"/>
          <w:szCs w:val="24"/>
        </w:rPr>
        <w:t>Excess                                                                   £5,000 each and every claim</w:t>
      </w:r>
    </w:p>
    <w:p w:rsidR="00425DA0" w:rsidRPr="00425DA0" w:rsidRDefault="00425DA0" w:rsidP="00425DA0">
      <w:pPr>
        <w:jc w:val="both"/>
        <w:rPr>
          <w:i/>
          <w:iCs/>
          <w:sz w:val="24"/>
          <w:szCs w:val="24"/>
        </w:rPr>
      </w:pPr>
    </w:p>
    <w:p w:rsidR="00425DA0" w:rsidRPr="00425DA0" w:rsidRDefault="00425DA0" w:rsidP="00425DA0">
      <w:pPr>
        <w:jc w:val="both"/>
        <w:rPr>
          <w:b/>
          <w:bCs/>
          <w:i/>
          <w:iCs/>
          <w:sz w:val="24"/>
          <w:szCs w:val="24"/>
        </w:rPr>
      </w:pPr>
      <w:r w:rsidRPr="00425DA0">
        <w:rPr>
          <w:b/>
          <w:bCs/>
          <w:i/>
          <w:iCs/>
          <w:sz w:val="24"/>
          <w:szCs w:val="24"/>
        </w:rPr>
        <w:t>Service B</w:t>
      </w:r>
      <w:r w:rsidRPr="00425DA0">
        <w:rPr>
          <w:b/>
          <w:bCs/>
          <w:i/>
          <w:iCs/>
          <w:color w:val="1F497D" w:themeColor="dark2"/>
          <w:sz w:val="24"/>
          <w:szCs w:val="24"/>
        </w:rPr>
        <w:t xml:space="preserve"> </w:t>
      </w:r>
      <w:r w:rsidRPr="008D47A8">
        <w:rPr>
          <w:b/>
          <w:bCs/>
          <w:i/>
          <w:iCs/>
          <w:color w:val="1F497D" w:themeColor="dark2"/>
          <w:sz w:val="24"/>
          <w:szCs w:val="24"/>
          <w:highlight w:val="cyan"/>
        </w:rPr>
        <w:t>NO LONGER PROVIDED – RUN OFF ACTIVITY</w:t>
      </w:r>
    </w:p>
    <w:p w:rsidR="00425DA0" w:rsidRPr="00425DA0" w:rsidRDefault="00425DA0" w:rsidP="00425DA0">
      <w:pPr>
        <w:jc w:val="both"/>
        <w:rPr>
          <w:b/>
          <w:bCs/>
          <w:i/>
          <w:iCs/>
          <w:sz w:val="24"/>
          <w:szCs w:val="24"/>
        </w:rPr>
      </w:pPr>
    </w:p>
    <w:p w:rsidR="00425DA0" w:rsidRPr="00425DA0" w:rsidRDefault="00425DA0" w:rsidP="00425DA0">
      <w:pPr>
        <w:jc w:val="both"/>
        <w:rPr>
          <w:i/>
          <w:iCs/>
          <w:sz w:val="24"/>
          <w:szCs w:val="24"/>
        </w:rPr>
      </w:pPr>
      <w:r w:rsidRPr="00425DA0">
        <w:rPr>
          <w:i/>
          <w:iCs/>
          <w:sz w:val="24"/>
          <w:szCs w:val="24"/>
        </w:rPr>
        <w:t>Provision of accountancy and taxation services for Pendle Enterprise and Regeneration Ltd and Pendle Enterprise and Regeneration (2) Ltd by the insured’s Accountancy and Audit, Central Services Department.</w:t>
      </w:r>
    </w:p>
    <w:p w:rsidR="00425DA0" w:rsidRPr="00425DA0" w:rsidRDefault="00425DA0" w:rsidP="00425DA0">
      <w:pPr>
        <w:jc w:val="both"/>
        <w:rPr>
          <w:i/>
          <w:iCs/>
          <w:sz w:val="24"/>
          <w:szCs w:val="24"/>
        </w:rPr>
      </w:pPr>
    </w:p>
    <w:p w:rsidR="00425DA0" w:rsidRPr="00425DA0" w:rsidRDefault="00425DA0" w:rsidP="00425DA0">
      <w:pPr>
        <w:jc w:val="both"/>
        <w:rPr>
          <w:i/>
          <w:iCs/>
          <w:sz w:val="24"/>
          <w:szCs w:val="24"/>
        </w:rPr>
      </w:pPr>
      <w:r w:rsidRPr="00425DA0">
        <w:rPr>
          <w:i/>
          <w:iCs/>
          <w:sz w:val="24"/>
          <w:szCs w:val="24"/>
        </w:rPr>
        <w:t>Retroactive date                                              17 March 2010</w:t>
      </w:r>
    </w:p>
    <w:p w:rsidR="00425DA0" w:rsidRPr="00425DA0" w:rsidRDefault="00425DA0" w:rsidP="00425DA0">
      <w:pPr>
        <w:jc w:val="both"/>
        <w:rPr>
          <w:i/>
          <w:iCs/>
          <w:sz w:val="24"/>
          <w:szCs w:val="24"/>
        </w:rPr>
      </w:pPr>
      <w:r w:rsidRPr="00425DA0">
        <w:rPr>
          <w:i/>
          <w:iCs/>
          <w:sz w:val="24"/>
          <w:szCs w:val="24"/>
        </w:rPr>
        <w:t>Limit of indemnity                                           £1,000,000</w:t>
      </w:r>
    </w:p>
    <w:p w:rsidR="00425DA0" w:rsidRPr="00425DA0" w:rsidRDefault="00425DA0" w:rsidP="00425DA0">
      <w:pPr>
        <w:jc w:val="both"/>
        <w:rPr>
          <w:i/>
          <w:iCs/>
          <w:sz w:val="24"/>
          <w:szCs w:val="24"/>
        </w:rPr>
      </w:pPr>
      <w:r w:rsidRPr="00425DA0">
        <w:rPr>
          <w:i/>
          <w:iCs/>
          <w:sz w:val="24"/>
          <w:szCs w:val="24"/>
        </w:rPr>
        <w:t>Excess                                                                 £2,500 each and every claim</w:t>
      </w:r>
    </w:p>
    <w:p w:rsidR="00425DA0" w:rsidRPr="00425DA0" w:rsidRDefault="00425DA0" w:rsidP="00425DA0">
      <w:pPr>
        <w:jc w:val="both"/>
        <w:rPr>
          <w:i/>
          <w:iCs/>
          <w:sz w:val="24"/>
          <w:szCs w:val="24"/>
        </w:rPr>
      </w:pPr>
    </w:p>
    <w:p w:rsidR="00425DA0" w:rsidRPr="00425DA0" w:rsidRDefault="00425DA0" w:rsidP="00425DA0">
      <w:pPr>
        <w:jc w:val="both"/>
        <w:rPr>
          <w:b/>
          <w:bCs/>
          <w:i/>
          <w:iCs/>
          <w:sz w:val="24"/>
          <w:szCs w:val="24"/>
        </w:rPr>
      </w:pPr>
      <w:r w:rsidRPr="00425DA0">
        <w:rPr>
          <w:b/>
          <w:bCs/>
          <w:i/>
          <w:iCs/>
          <w:sz w:val="24"/>
          <w:szCs w:val="24"/>
        </w:rPr>
        <w:t>Note</w:t>
      </w:r>
    </w:p>
    <w:p w:rsidR="00425DA0" w:rsidRPr="00425DA0" w:rsidRDefault="00425DA0" w:rsidP="00425DA0">
      <w:pPr>
        <w:jc w:val="both"/>
        <w:rPr>
          <w:b/>
          <w:bCs/>
          <w:i/>
          <w:iCs/>
          <w:sz w:val="24"/>
          <w:szCs w:val="24"/>
        </w:rPr>
      </w:pPr>
    </w:p>
    <w:p w:rsidR="00425DA0" w:rsidRPr="00425DA0" w:rsidRDefault="00425DA0" w:rsidP="00425DA0">
      <w:pPr>
        <w:jc w:val="both"/>
        <w:rPr>
          <w:i/>
          <w:iCs/>
          <w:sz w:val="24"/>
          <w:szCs w:val="24"/>
        </w:rPr>
      </w:pPr>
      <w:r w:rsidRPr="00425DA0">
        <w:rPr>
          <w:i/>
          <w:iCs/>
          <w:sz w:val="24"/>
          <w:szCs w:val="24"/>
        </w:rPr>
        <w:t>Note that for 2012 / 2013 the Council will also include work done for Pendle Enterprise and Regeneration (Brierfield Mill) Ltd as part of Service B – this company was formed in March 2012.</w:t>
      </w:r>
    </w:p>
    <w:p w:rsidR="00425DA0" w:rsidRPr="00425DA0" w:rsidRDefault="00425DA0" w:rsidP="00425DA0">
      <w:pPr>
        <w:jc w:val="both"/>
        <w:rPr>
          <w:i/>
          <w:iCs/>
          <w:sz w:val="24"/>
          <w:szCs w:val="24"/>
        </w:rPr>
      </w:pPr>
    </w:p>
    <w:p w:rsidR="00425DA0" w:rsidRPr="00425DA0" w:rsidRDefault="00425DA0" w:rsidP="00425DA0">
      <w:pPr>
        <w:jc w:val="both"/>
        <w:rPr>
          <w:i/>
          <w:iCs/>
          <w:sz w:val="24"/>
          <w:szCs w:val="24"/>
        </w:rPr>
      </w:pPr>
      <w:r w:rsidRPr="00425DA0">
        <w:rPr>
          <w:i/>
          <w:iCs/>
          <w:sz w:val="24"/>
          <w:szCs w:val="24"/>
        </w:rPr>
        <w:t>Pearl and Pearl 2 are joint venture entities formed between the Council and Barnfield investment properties. Pearl (Brierfield Mill) is a subsidiary of Pearl 2.</w:t>
      </w:r>
    </w:p>
    <w:p w:rsidR="00425DA0" w:rsidRDefault="00425DA0" w:rsidP="00425DA0">
      <w:pPr>
        <w:jc w:val="both"/>
        <w:rPr>
          <w:i/>
          <w:iCs/>
          <w:sz w:val="24"/>
          <w:szCs w:val="24"/>
        </w:rPr>
      </w:pPr>
    </w:p>
    <w:p w:rsidR="00425DA0" w:rsidRDefault="00425DA0" w:rsidP="00425DA0">
      <w:pPr>
        <w:jc w:val="both"/>
        <w:rPr>
          <w:i/>
          <w:iCs/>
          <w:sz w:val="24"/>
          <w:szCs w:val="24"/>
        </w:rPr>
      </w:pPr>
    </w:p>
    <w:p w:rsidR="00425DA0" w:rsidRDefault="00425DA0" w:rsidP="00425DA0">
      <w:pPr>
        <w:jc w:val="both"/>
        <w:rPr>
          <w:i/>
          <w:iCs/>
          <w:sz w:val="24"/>
          <w:szCs w:val="24"/>
        </w:rPr>
      </w:pPr>
    </w:p>
    <w:p w:rsidR="00425DA0" w:rsidRPr="00425DA0" w:rsidRDefault="00425DA0" w:rsidP="00425DA0">
      <w:pPr>
        <w:jc w:val="both"/>
        <w:rPr>
          <w:i/>
          <w:iCs/>
          <w:sz w:val="24"/>
          <w:szCs w:val="24"/>
        </w:rPr>
      </w:pPr>
    </w:p>
    <w:p w:rsidR="00425DA0" w:rsidRPr="00425DA0" w:rsidRDefault="00425DA0" w:rsidP="00425DA0">
      <w:pPr>
        <w:jc w:val="both"/>
        <w:rPr>
          <w:i/>
          <w:iCs/>
          <w:sz w:val="24"/>
          <w:szCs w:val="24"/>
        </w:rPr>
      </w:pPr>
    </w:p>
    <w:sectPr w:rsidR="00425DA0" w:rsidRPr="00425DA0" w:rsidSect="00425D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A0"/>
    <w:rsid w:val="00425DA0"/>
    <w:rsid w:val="00873539"/>
    <w:rsid w:val="008D47A8"/>
    <w:rsid w:val="00BC0D0A"/>
    <w:rsid w:val="00CE0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Guinness</dc:creator>
  <cp:lastModifiedBy>Susan Guinness</cp:lastModifiedBy>
  <cp:revision>2</cp:revision>
  <dcterms:created xsi:type="dcterms:W3CDTF">2019-12-10T12:42:00Z</dcterms:created>
  <dcterms:modified xsi:type="dcterms:W3CDTF">2019-12-10T12:42:00Z</dcterms:modified>
</cp:coreProperties>
</file>