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A9" w:rsidRPr="00553029" w:rsidRDefault="00F640A9" w:rsidP="005C0197">
      <w:pPr>
        <w:spacing w:after="0" w:line="240" w:lineRule="auto"/>
        <w:jc w:val="both"/>
        <w:rPr>
          <w:b/>
          <w:sz w:val="28"/>
        </w:rPr>
      </w:pPr>
      <w:r w:rsidRPr="00553029">
        <w:rPr>
          <w:b/>
          <w:sz w:val="28"/>
        </w:rPr>
        <w:t xml:space="preserve">Kent Fire &amp; Rescue Service </w:t>
      </w:r>
    </w:p>
    <w:p w:rsidR="00F640A9" w:rsidRPr="00553029" w:rsidRDefault="008803DF" w:rsidP="005C0197">
      <w:pPr>
        <w:spacing w:after="0" w:line="240" w:lineRule="auto"/>
        <w:jc w:val="both"/>
        <w:rPr>
          <w:b/>
          <w:sz w:val="28"/>
        </w:rPr>
      </w:pPr>
      <w:r w:rsidRPr="008803DF">
        <w:rPr>
          <w:b/>
          <w:sz w:val="28"/>
        </w:rPr>
        <w:t xml:space="preserve">Framework for Disposal Services for </w:t>
      </w:r>
      <w:proofErr w:type="gramStart"/>
      <w:r w:rsidRPr="008803DF">
        <w:rPr>
          <w:b/>
          <w:sz w:val="28"/>
        </w:rPr>
        <w:t>IT</w:t>
      </w:r>
      <w:proofErr w:type="gramEnd"/>
      <w:r w:rsidRPr="008803DF">
        <w:rPr>
          <w:b/>
          <w:sz w:val="28"/>
        </w:rPr>
        <w:t xml:space="preserve"> Equipment, Electronic and Electrical Equipment</w:t>
      </w:r>
      <w:r w:rsidRPr="00553029">
        <w:rPr>
          <w:b/>
          <w:sz w:val="28"/>
        </w:rPr>
        <w:t xml:space="preserve"> </w:t>
      </w:r>
      <w:r w:rsidR="00F640A9" w:rsidRPr="00553029">
        <w:rPr>
          <w:b/>
          <w:sz w:val="28"/>
        </w:rPr>
        <w:t>Re</w:t>
      </w:r>
      <w:r w:rsidR="00880FBB">
        <w:rPr>
          <w:b/>
          <w:sz w:val="28"/>
        </w:rPr>
        <w:t>qu</w:t>
      </w:r>
      <w:r w:rsidR="00F640A9" w:rsidRPr="00553029">
        <w:rPr>
          <w:b/>
          <w:sz w:val="28"/>
        </w:rPr>
        <w:t>est for Information</w:t>
      </w:r>
    </w:p>
    <w:p w:rsidR="00F640A9" w:rsidRDefault="00F640A9" w:rsidP="005C0197">
      <w:pPr>
        <w:spacing w:after="0" w:line="240" w:lineRule="auto"/>
        <w:jc w:val="both"/>
        <w:rPr>
          <w:b/>
        </w:rPr>
      </w:pPr>
    </w:p>
    <w:p w:rsidR="00880FBB" w:rsidRPr="00A43741" w:rsidRDefault="00927341" w:rsidP="005C0197">
      <w:pPr>
        <w:pStyle w:val="ListParagraph"/>
        <w:numPr>
          <w:ilvl w:val="0"/>
          <w:numId w:val="23"/>
        </w:numPr>
        <w:spacing w:after="0" w:line="240" w:lineRule="auto"/>
        <w:jc w:val="both"/>
        <w:rPr>
          <w:b/>
          <w:sz w:val="28"/>
        </w:rPr>
      </w:pPr>
      <w:r>
        <w:rPr>
          <w:b/>
          <w:sz w:val="28"/>
        </w:rPr>
        <w:t>Executive Summary</w:t>
      </w:r>
    </w:p>
    <w:p w:rsidR="00EC2D02" w:rsidRDefault="00EC2D02" w:rsidP="005C0197">
      <w:pPr>
        <w:spacing w:after="0" w:line="240" w:lineRule="auto"/>
        <w:jc w:val="both"/>
      </w:pPr>
    </w:p>
    <w:p w:rsidR="00985AF7" w:rsidRDefault="00942375" w:rsidP="005C0197">
      <w:pPr>
        <w:spacing w:after="0" w:line="240" w:lineRule="auto"/>
        <w:ind w:left="360"/>
        <w:jc w:val="both"/>
      </w:pPr>
      <w:r w:rsidRPr="00EF6D2A">
        <w:t xml:space="preserve">Kent and Medway Towns Fire Authority (“the Authority”) </w:t>
      </w:r>
      <w:r w:rsidR="00880FBB">
        <w:t xml:space="preserve">are seeking to conduct early market engagement with organisations ahead of a prospective procurement for a </w:t>
      </w:r>
      <w:r w:rsidR="008803DF" w:rsidRPr="008803DF">
        <w:t>framework for Disposal Services for IT equipment, electronic and electrical equipment</w:t>
      </w:r>
      <w:r w:rsidR="0060476C">
        <w:t>.</w:t>
      </w:r>
      <w:r w:rsidR="000A489F">
        <w:t xml:space="preserve">  </w:t>
      </w:r>
    </w:p>
    <w:p w:rsidR="00985AF7" w:rsidRDefault="00985AF7" w:rsidP="005C0197">
      <w:pPr>
        <w:spacing w:after="0" w:line="240" w:lineRule="auto"/>
        <w:ind w:left="360"/>
        <w:jc w:val="both"/>
      </w:pPr>
    </w:p>
    <w:p w:rsidR="00CD6059" w:rsidRDefault="008803DF" w:rsidP="005C0197">
      <w:pPr>
        <w:spacing w:after="0" w:line="240" w:lineRule="auto"/>
        <w:ind w:left="360"/>
        <w:jc w:val="both"/>
      </w:pPr>
      <w:r w:rsidRPr="008803DF">
        <w:t xml:space="preserve">Unauthorised disclosure of information / sensitive data is a major risk </w:t>
      </w:r>
      <w:r>
        <w:t>so the authority</w:t>
      </w:r>
      <w:r w:rsidRPr="008803DF">
        <w:t xml:space="preserve"> require data to be deleted from media and equipment sometimes prior to its permanent removal from site for disposal and/or recycling or for assured data destruction </w:t>
      </w:r>
      <w:r>
        <w:t xml:space="preserve">to </w:t>
      </w:r>
      <w:r w:rsidRPr="008803DF">
        <w:t>take place. The framework therefore seeks to appoint contractors to — securely and irreversibly delete data from a range of media either on the customer's premises / or off-site; and — securely and legally dispose of redundant information and communications technology equipment and media</w:t>
      </w:r>
      <w:r w:rsidR="005660B5">
        <w:t>.</w:t>
      </w:r>
      <w:r w:rsidR="19F4CC61">
        <w:t xml:space="preserve"> </w:t>
      </w:r>
    </w:p>
    <w:p w:rsidR="00927341" w:rsidRDefault="00927341" w:rsidP="005C0197">
      <w:pPr>
        <w:spacing w:after="0" w:line="240" w:lineRule="auto"/>
        <w:ind w:left="360"/>
        <w:jc w:val="both"/>
      </w:pPr>
    </w:p>
    <w:p w:rsidR="00927341" w:rsidRPr="00927341" w:rsidRDefault="00927341" w:rsidP="005C0197">
      <w:pPr>
        <w:pStyle w:val="ListParagraph"/>
        <w:numPr>
          <w:ilvl w:val="0"/>
          <w:numId w:val="23"/>
        </w:numPr>
        <w:spacing w:after="0" w:line="240" w:lineRule="auto"/>
        <w:jc w:val="both"/>
        <w:rPr>
          <w:b/>
          <w:sz w:val="28"/>
        </w:rPr>
      </w:pPr>
      <w:r w:rsidRPr="00927341">
        <w:rPr>
          <w:b/>
          <w:sz w:val="28"/>
        </w:rPr>
        <w:t>Introduction</w:t>
      </w:r>
    </w:p>
    <w:p w:rsidR="00CD6059" w:rsidRDefault="00CD6059" w:rsidP="005C0197">
      <w:pPr>
        <w:spacing w:after="0" w:line="240" w:lineRule="auto"/>
        <w:jc w:val="both"/>
      </w:pPr>
    </w:p>
    <w:p w:rsidR="00EF6D2A" w:rsidRDefault="00AB51C1" w:rsidP="005C0197">
      <w:pPr>
        <w:spacing w:after="0" w:line="240" w:lineRule="auto"/>
        <w:ind w:left="360"/>
        <w:jc w:val="both"/>
      </w:pPr>
      <w:r w:rsidRPr="00EC27A2">
        <w:rPr>
          <w:rFonts w:cs="Calibri"/>
          <w:bCs/>
          <w:color w:val="0D0D0D"/>
        </w:rPr>
        <w:t xml:space="preserve">Kent Fire and Rescue Service (KFRS) are a blue light, </w:t>
      </w:r>
      <w:r w:rsidR="00EF6D2A" w:rsidRPr="00EF6D2A">
        <w:t xml:space="preserve">mission critical service delivering fire and rescue services to more than 1.8 million people in the county of </w:t>
      </w:r>
      <w:r w:rsidR="00D909F3" w:rsidRPr="00EF6D2A">
        <w:t>Kent</w:t>
      </w:r>
      <w:r w:rsidR="00D909F3">
        <w:t>.</w:t>
      </w:r>
      <w:r w:rsidR="00E95B22">
        <w:t xml:space="preserve">  </w:t>
      </w:r>
      <w:r w:rsidR="00E95B22" w:rsidRPr="00EC27A2">
        <w:rPr>
          <w:rFonts w:cs="Calibri"/>
          <w:bCs/>
          <w:color w:val="0D0D0D"/>
        </w:rPr>
        <w:t xml:space="preserve">It is a Combined Fire Authority which means that it is a standalone local </w:t>
      </w:r>
      <w:r w:rsidR="00DA07C8">
        <w:rPr>
          <w:rFonts w:cs="Calibri"/>
          <w:bCs/>
          <w:color w:val="0D0D0D"/>
        </w:rPr>
        <w:t>A</w:t>
      </w:r>
      <w:r w:rsidR="00E95B22" w:rsidRPr="00EC27A2">
        <w:rPr>
          <w:rFonts w:cs="Calibri"/>
          <w:bCs/>
          <w:color w:val="0D0D0D"/>
        </w:rPr>
        <w:t>uthority.  It draws 21 of its elected Members from Kent County Council and 4 from Medway Council</w:t>
      </w:r>
      <w:r w:rsidR="00E95B22">
        <w:rPr>
          <w:rFonts w:cs="Calibri"/>
          <w:bCs/>
          <w:color w:val="0D0D0D"/>
        </w:rPr>
        <w:t xml:space="preserve">.  </w:t>
      </w:r>
      <w:r w:rsidR="00EF6D2A" w:rsidRPr="00EF6D2A">
        <w:t>The Authority operates a 24-hour service across 56 fire stations, a training centre, control centre, and Service Headquarters.  It also has a fleet of 75 front line fire engines and a range of specialist operational support vehicles.</w:t>
      </w:r>
    </w:p>
    <w:p w:rsidR="00053051" w:rsidRDefault="00053051" w:rsidP="005C0197">
      <w:pPr>
        <w:spacing w:after="0" w:line="240" w:lineRule="auto"/>
        <w:ind w:left="360"/>
        <w:jc w:val="both"/>
      </w:pPr>
    </w:p>
    <w:p w:rsidR="0016676C" w:rsidRDefault="003C39F8" w:rsidP="005C0197">
      <w:pPr>
        <w:spacing w:after="0" w:line="240" w:lineRule="auto"/>
        <w:ind w:left="360"/>
        <w:jc w:val="both"/>
      </w:pPr>
      <w:r>
        <w:t xml:space="preserve">With this RFI, </w:t>
      </w:r>
      <w:r w:rsidR="00C611BD">
        <w:t>the Authority</w:t>
      </w:r>
      <w:r>
        <w:t xml:space="preserve"> is seeking</w:t>
      </w:r>
      <w:r w:rsidR="0016676C">
        <w:t xml:space="preserve"> </w:t>
      </w:r>
      <w:r w:rsidR="001449CB">
        <w:t>to</w:t>
      </w:r>
      <w:r w:rsidR="00F81E0E">
        <w:t>:</w:t>
      </w:r>
    </w:p>
    <w:p w:rsidR="00CB100F" w:rsidRDefault="00CB100F" w:rsidP="005C0197">
      <w:pPr>
        <w:spacing w:after="0" w:line="240" w:lineRule="auto"/>
        <w:ind w:left="360"/>
        <w:jc w:val="both"/>
      </w:pPr>
    </w:p>
    <w:p w:rsidR="0016676C" w:rsidRDefault="0016676C" w:rsidP="005C0197">
      <w:pPr>
        <w:pStyle w:val="ListParagraph"/>
        <w:numPr>
          <w:ilvl w:val="2"/>
          <w:numId w:val="18"/>
        </w:numPr>
        <w:spacing w:afterLines="220" w:after="528" w:line="240" w:lineRule="auto"/>
        <w:ind w:left="1134" w:hanging="426"/>
        <w:jc w:val="both"/>
      </w:pPr>
      <w:r>
        <w:t>Obtain a better understanding of pricing information for the cost of providing</w:t>
      </w:r>
      <w:r w:rsidR="008803DF">
        <w:t xml:space="preserve"> data wiping and </w:t>
      </w:r>
      <w:r w:rsidR="008803DF" w:rsidRPr="008803DF">
        <w:t>secure</w:t>
      </w:r>
      <w:r w:rsidR="008803DF">
        <w:t xml:space="preserve"> and legal</w:t>
      </w:r>
      <w:r w:rsidR="008803DF" w:rsidRPr="008803DF">
        <w:t xml:space="preserve"> dispos</w:t>
      </w:r>
      <w:r w:rsidR="008803DF">
        <w:t>al</w:t>
      </w:r>
      <w:r w:rsidR="008803DF" w:rsidRPr="008803DF">
        <w:t xml:space="preserve"> of redundant information and communications technology equipment and media</w:t>
      </w:r>
      <w:r>
        <w:t xml:space="preserve">, for budget setting </w:t>
      </w:r>
      <w:r w:rsidR="001449CB">
        <w:t>purposes.</w:t>
      </w:r>
    </w:p>
    <w:p w:rsidR="0016676C" w:rsidRDefault="0016676C" w:rsidP="005C0197">
      <w:pPr>
        <w:pStyle w:val="ListParagraph"/>
        <w:numPr>
          <w:ilvl w:val="2"/>
          <w:numId w:val="18"/>
        </w:numPr>
        <w:spacing w:afterLines="220" w:after="528" w:line="240" w:lineRule="auto"/>
        <w:ind w:left="1134" w:hanging="426"/>
        <w:jc w:val="both"/>
      </w:pPr>
      <w:r>
        <w:t xml:space="preserve">Gather a better understanding of </w:t>
      </w:r>
      <w:r w:rsidR="00DF714F">
        <w:t>approx.</w:t>
      </w:r>
      <w:r>
        <w:t xml:space="preserve"> time scales for implementing such a solution, to aid in planning. </w:t>
      </w:r>
    </w:p>
    <w:p w:rsidR="00B3709E" w:rsidRDefault="0016676C" w:rsidP="00B3709E">
      <w:pPr>
        <w:pStyle w:val="ListParagraph"/>
        <w:numPr>
          <w:ilvl w:val="2"/>
          <w:numId w:val="18"/>
        </w:numPr>
        <w:spacing w:afterLines="220" w:after="528" w:line="240" w:lineRule="auto"/>
        <w:ind w:left="1134" w:hanging="426"/>
        <w:jc w:val="both"/>
      </w:pPr>
      <w:r w:rsidRPr="006332F7">
        <w:t>Engage with the industry to identify and better understand new</w:t>
      </w:r>
      <w:r w:rsidR="00371500">
        <w:t xml:space="preserve"> </w:t>
      </w:r>
      <w:r w:rsidRPr="006332F7">
        <w:t>i</w:t>
      </w:r>
      <w:r w:rsidR="008803DF">
        <w:t xml:space="preserve">nnovative solutions and/or </w:t>
      </w:r>
      <w:r w:rsidRPr="006332F7">
        <w:t>s</w:t>
      </w:r>
      <w:r w:rsidR="008803DF">
        <w:t>ervice options</w:t>
      </w:r>
      <w:r w:rsidRPr="006332F7">
        <w:t xml:space="preserve"> that are available</w:t>
      </w:r>
      <w:r w:rsidR="00202C6E">
        <w:t xml:space="preserve"> </w:t>
      </w:r>
      <w:r w:rsidRPr="006332F7">
        <w:t>and may meet the Authority’s requirements</w:t>
      </w:r>
      <w:r w:rsidR="007B486E">
        <w:t>.</w:t>
      </w:r>
    </w:p>
    <w:p w:rsidR="00B3709E" w:rsidRDefault="00B3709E" w:rsidP="00B3709E">
      <w:pPr>
        <w:pStyle w:val="ListParagraph"/>
        <w:spacing w:afterLines="220" w:after="528" w:line="240" w:lineRule="auto"/>
        <w:ind w:left="360"/>
        <w:jc w:val="both"/>
      </w:pPr>
    </w:p>
    <w:p w:rsidR="00CB100F" w:rsidRDefault="003C39F8" w:rsidP="00B3709E">
      <w:pPr>
        <w:pStyle w:val="ListParagraph"/>
        <w:spacing w:afterLines="220" w:after="528" w:line="240" w:lineRule="auto"/>
        <w:ind w:left="360"/>
        <w:jc w:val="both"/>
      </w:pPr>
      <w:r>
        <w:t xml:space="preserve">The result of the research conducted through this RFI will support the development of the requirements </w:t>
      </w:r>
      <w:r w:rsidR="00C72346">
        <w:t xml:space="preserve">and the draft tender documentation </w:t>
      </w:r>
      <w:r w:rsidR="00CB100F" w:rsidRPr="00364B9B">
        <w:t>ahead of a potential procurement</w:t>
      </w:r>
      <w:r w:rsidR="00CB100F">
        <w:t xml:space="preserve"> </w:t>
      </w:r>
      <w:r w:rsidR="00F13E61">
        <w:t>exercise</w:t>
      </w:r>
      <w:r w:rsidR="00CB100F">
        <w:t>.</w:t>
      </w:r>
    </w:p>
    <w:p w:rsidR="00204AA5" w:rsidRDefault="00204AA5" w:rsidP="00B3709E">
      <w:pPr>
        <w:pStyle w:val="ListParagraph"/>
        <w:spacing w:afterLines="220" w:after="528" w:line="240" w:lineRule="auto"/>
        <w:ind w:left="360"/>
        <w:jc w:val="both"/>
      </w:pPr>
    </w:p>
    <w:p w:rsidR="00204AA5" w:rsidRDefault="008E2C84" w:rsidP="00B3709E">
      <w:pPr>
        <w:pStyle w:val="ListParagraph"/>
        <w:spacing w:afterLines="220" w:after="528" w:line="240" w:lineRule="auto"/>
        <w:ind w:left="360"/>
        <w:jc w:val="both"/>
      </w:pPr>
      <w:r>
        <w:t xml:space="preserve">This document will provide suppliers with an outline of </w:t>
      </w:r>
      <w:r w:rsidR="00942375">
        <w:t xml:space="preserve">the </w:t>
      </w:r>
      <w:r w:rsidR="00DF714F">
        <w:t>Authority’s</w:t>
      </w:r>
      <w:r>
        <w:t xml:space="preserve"> </w:t>
      </w:r>
      <w:r w:rsidR="00254803">
        <w:t xml:space="preserve">current </w:t>
      </w:r>
      <w:r w:rsidR="00DF714F">
        <w:t>position, as</w:t>
      </w:r>
      <w:r>
        <w:t xml:space="preserve"> well as an outline of </w:t>
      </w:r>
      <w:r w:rsidR="00D57334">
        <w:t xml:space="preserve">indicative </w:t>
      </w:r>
      <w:r>
        <w:t>future requirements</w:t>
      </w:r>
      <w:r w:rsidR="00C72346">
        <w:t xml:space="preserve"> and draft copies of the proposed tender documentation and model framework agreement</w:t>
      </w:r>
      <w:r>
        <w:t>. Suppliers should note that any requirements contained within this document are not exhaustive and that such requirements have been specified to a level that has been deemed suitable enough</w:t>
      </w:r>
      <w:r w:rsidR="007C438C">
        <w:t xml:space="preserve"> </w:t>
      </w:r>
      <w:r>
        <w:t>for suppliers to provide indicative pricing.</w:t>
      </w:r>
      <w:r w:rsidR="00295CE1">
        <w:t xml:space="preserve">  </w:t>
      </w:r>
      <w:r>
        <w:t>Suppliers should note that no</w:t>
      </w:r>
      <w:r w:rsidR="00D57334">
        <w:t xml:space="preserve"> information, </w:t>
      </w:r>
      <w:r>
        <w:t>statements, or pricing information pr</w:t>
      </w:r>
      <w:r w:rsidR="006813C0">
        <w:t xml:space="preserve">ovided </w:t>
      </w:r>
      <w:r w:rsidR="00D57334">
        <w:t xml:space="preserve">in response </w:t>
      </w:r>
      <w:r w:rsidR="006813C0">
        <w:t>to this RFI constitutes any commitment by either party.</w:t>
      </w:r>
    </w:p>
    <w:p w:rsidR="005C0197" w:rsidRDefault="005C0197" w:rsidP="00B3709E">
      <w:pPr>
        <w:pStyle w:val="ListParagraph"/>
        <w:spacing w:afterLines="220" w:after="528" w:line="240" w:lineRule="auto"/>
        <w:ind w:left="360"/>
        <w:jc w:val="both"/>
      </w:pPr>
    </w:p>
    <w:p w:rsidR="002E5FCE" w:rsidRDefault="008E2C84" w:rsidP="00B3709E">
      <w:pPr>
        <w:pStyle w:val="ListParagraph"/>
        <w:spacing w:afterLines="220" w:after="528" w:line="240" w:lineRule="auto"/>
        <w:ind w:left="360"/>
        <w:jc w:val="both"/>
      </w:pPr>
      <w:r>
        <w:lastRenderedPageBreak/>
        <w:t xml:space="preserve">No information contained within or provided for the purposes of this RFI exercise constitutes any commitment by </w:t>
      </w:r>
      <w:r w:rsidR="00EA450C">
        <w:t>the Authority</w:t>
      </w:r>
      <w:r>
        <w:t xml:space="preserve"> to undertake any procurement exercise in the future</w:t>
      </w:r>
      <w:r w:rsidR="004C3A2D">
        <w:t xml:space="preserve">, </w:t>
      </w:r>
      <w:r>
        <w:t>and any information</w:t>
      </w:r>
      <w:r w:rsidR="002E5FCE">
        <w:t xml:space="preserve"> </w:t>
      </w:r>
      <w:r>
        <w:t>provided for the purposes of this RFI is subject to change.</w:t>
      </w:r>
    </w:p>
    <w:p w:rsidR="00204AA5" w:rsidRDefault="00204AA5" w:rsidP="00B3709E">
      <w:pPr>
        <w:pStyle w:val="ListParagraph"/>
        <w:spacing w:afterLines="220" w:after="528" w:line="240" w:lineRule="auto"/>
        <w:ind w:left="360"/>
        <w:jc w:val="both"/>
      </w:pPr>
    </w:p>
    <w:p w:rsidR="00C92FFD" w:rsidRDefault="0059048C" w:rsidP="00B3709E">
      <w:pPr>
        <w:pStyle w:val="ListParagraph"/>
        <w:spacing w:afterLines="220" w:after="528" w:line="240" w:lineRule="auto"/>
        <w:ind w:left="360"/>
        <w:jc w:val="both"/>
      </w:pPr>
      <w:r w:rsidRPr="0049036F">
        <w:t xml:space="preserve">Please carefully read the information provided in this document and provide responses to the questions in </w:t>
      </w:r>
      <w:r w:rsidRPr="00B7613D">
        <w:rPr>
          <w:i/>
          <w:iCs/>
        </w:rPr>
        <w:t xml:space="preserve">Section </w:t>
      </w:r>
      <w:r w:rsidR="00B3709E">
        <w:rPr>
          <w:i/>
          <w:iCs/>
        </w:rPr>
        <w:t>3</w:t>
      </w:r>
      <w:r w:rsidRPr="0049036F">
        <w:t xml:space="preserve">. </w:t>
      </w:r>
      <w:r w:rsidR="00A416D2" w:rsidRPr="0049036F">
        <w:t xml:space="preserve">Additional information that is deemed relevant is welcomed by </w:t>
      </w:r>
      <w:r w:rsidR="00176BC2">
        <w:t>the Authority</w:t>
      </w:r>
      <w:r w:rsidR="00A416D2" w:rsidRPr="0049036F">
        <w:t>.</w:t>
      </w:r>
    </w:p>
    <w:p w:rsidR="00C92FFD" w:rsidRDefault="00C92FFD" w:rsidP="00B3709E">
      <w:pPr>
        <w:pStyle w:val="ListParagraph"/>
        <w:spacing w:afterLines="220" w:after="528" w:line="240" w:lineRule="auto"/>
        <w:ind w:left="360"/>
        <w:jc w:val="both"/>
      </w:pPr>
    </w:p>
    <w:p w:rsidR="00B3709E" w:rsidRDefault="005136E3" w:rsidP="00B3709E">
      <w:pPr>
        <w:pStyle w:val="ListParagraph"/>
        <w:spacing w:afterLines="220" w:after="528" w:line="240" w:lineRule="auto"/>
        <w:ind w:left="360"/>
        <w:jc w:val="both"/>
      </w:pPr>
      <w:r>
        <w:t>Suppliers</w:t>
      </w:r>
      <w:r w:rsidR="00A416D2">
        <w:t xml:space="preserve"> should note that this is a light-touch exercise intended to obtain indicative pricing for budget setting purposes and some relevant market information.</w:t>
      </w:r>
      <w:r w:rsidR="00B2447B">
        <w:t xml:space="preserve"> </w:t>
      </w:r>
      <w:r w:rsidR="00D96503">
        <w:t>The Authority</w:t>
      </w:r>
      <w:r w:rsidR="00B2447B">
        <w:t xml:space="preserve"> would</w:t>
      </w:r>
      <w:r w:rsidR="002E5FCE">
        <w:t xml:space="preserve"> </w:t>
      </w:r>
      <w:r w:rsidR="00B2447B">
        <w:t xml:space="preserve">kindly request that respondents </w:t>
      </w:r>
      <w:r w:rsidR="008F3AEA">
        <w:t>break down pricing</w:t>
      </w:r>
      <w:r w:rsidR="00B2447B">
        <w:t xml:space="preserve"> as much as possible into its separate elements </w:t>
      </w:r>
      <w:r w:rsidR="00287888">
        <w:t>to</w:t>
      </w:r>
      <w:r w:rsidR="00B2447B">
        <w:t xml:space="preserve"> assist with better understanding the</w:t>
      </w:r>
      <w:r w:rsidR="00364B9B">
        <w:t xml:space="preserve"> </w:t>
      </w:r>
      <w:r w:rsidR="00B2447B">
        <w:t>market.</w:t>
      </w:r>
    </w:p>
    <w:p w:rsidR="00B3709E" w:rsidRDefault="00B3709E" w:rsidP="00B3709E">
      <w:pPr>
        <w:pStyle w:val="ListParagraph"/>
        <w:spacing w:afterLines="220" w:after="528" w:line="240" w:lineRule="auto"/>
        <w:ind w:left="360"/>
        <w:jc w:val="both"/>
      </w:pPr>
    </w:p>
    <w:p w:rsidR="00AC6E9C" w:rsidRDefault="0059048C" w:rsidP="00AC6E9C">
      <w:pPr>
        <w:pStyle w:val="ListParagraph"/>
        <w:spacing w:afterLines="220" w:after="528" w:line="240" w:lineRule="auto"/>
        <w:ind w:left="360"/>
        <w:jc w:val="both"/>
      </w:pPr>
      <w:r>
        <w:t>Any queries should be directed to</w:t>
      </w:r>
      <w:r w:rsidR="00B2447B">
        <w:t xml:space="preserve"> </w:t>
      </w:r>
      <w:hyperlink r:id="rId11" w:history="1">
        <w:r w:rsidR="00C72346" w:rsidRPr="00C5024E">
          <w:rPr>
            <w:rStyle w:val="Hyperlink"/>
          </w:rPr>
          <w:t>amanda.richardson-jess@kent.fire-uk.org</w:t>
        </w:r>
      </w:hyperlink>
      <w:r w:rsidR="00AD05F6" w:rsidRPr="002E5FCE">
        <w:t xml:space="preserve"> </w:t>
      </w:r>
      <w:r w:rsidR="00AD05F6" w:rsidRPr="00AD05F6">
        <w:t xml:space="preserve">for the attention </w:t>
      </w:r>
      <w:r w:rsidR="00AD05F6" w:rsidRPr="00DA07C8">
        <w:t xml:space="preserve">of </w:t>
      </w:r>
      <w:r w:rsidR="00C72346">
        <w:t>Amanda Richardson-Jess</w:t>
      </w:r>
      <w:r w:rsidR="00DA07C8">
        <w:t>.</w:t>
      </w:r>
      <w:r w:rsidR="00DA07C8" w:rsidRPr="00DA07C8">
        <w:t xml:space="preserve"> </w:t>
      </w:r>
    </w:p>
    <w:p w:rsidR="00AC6E9C" w:rsidRDefault="00AC6E9C" w:rsidP="00AC6E9C">
      <w:pPr>
        <w:pStyle w:val="ListParagraph"/>
        <w:spacing w:afterLines="220" w:after="528" w:line="240" w:lineRule="auto"/>
        <w:ind w:left="360"/>
        <w:jc w:val="both"/>
      </w:pPr>
    </w:p>
    <w:p w:rsidR="00AC6E9C" w:rsidRDefault="00C92FFD" w:rsidP="00AC6E9C">
      <w:pPr>
        <w:pStyle w:val="ListParagraph"/>
        <w:spacing w:afterLines="220" w:after="528" w:line="240" w:lineRule="auto"/>
        <w:ind w:left="360"/>
        <w:jc w:val="both"/>
      </w:pPr>
      <w:r>
        <w:t>T</w:t>
      </w:r>
      <w:r w:rsidR="0059048C">
        <w:t xml:space="preserve">he deadline for response is </w:t>
      </w:r>
      <w:r w:rsidR="00800A9F" w:rsidRPr="00991C8E">
        <w:rPr>
          <w:b/>
        </w:rPr>
        <w:t>Wednesday 15</w:t>
      </w:r>
      <w:r w:rsidR="00C41D0E" w:rsidRPr="00991C8E">
        <w:rPr>
          <w:b/>
          <w:vertAlign w:val="superscript"/>
        </w:rPr>
        <w:t>th</w:t>
      </w:r>
      <w:r w:rsidR="00C41D0E" w:rsidRPr="00991C8E">
        <w:rPr>
          <w:b/>
        </w:rPr>
        <w:t xml:space="preserve"> </w:t>
      </w:r>
      <w:r w:rsidR="00F63D54" w:rsidRPr="00991C8E">
        <w:rPr>
          <w:b/>
        </w:rPr>
        <w:t>December 2021 at</w:t>
      </w:r>
      <w:r w:rsidR="0059048C" w:rsidRPr="00991C8E">
        <w:rPr>
          <w:b/>
        </w:rPr>
        <w:t xml:space="preserve"> 12pm</w:t>
      </w:r>
      <w:r w:rsidR="00F63D54" w:rsidRPr="00991C8E">
        <w:rPr>
          <w:b/>
        </w:rPr>
        <w:t>.</w:t>
      </w:r>
    </w:p>
    <w:p w:rsidR="00AC6E9C" w:rsidRDefault="00AC6E9C" w:rsidP="00AC6E9C">
      <w:pPr>
        <w:pStyle w:val="ListParagraph"/>
        <w:spacing w:afterLines="220" w:after="528" w:line="240" w:lineRule="auto"/>
        <w:ind w:left="360"/>
        <w:jc w:val="both"/>
      </w:pPr>
    </w:p>
    <w:p w:rsidR="00AC6E9C" w:rsidRDefault="008E2C84" w:rsidP="00AC6E9C">
      <w:pPr>
        <w:pStyle w:val="ListParagraph"/>
        <w:spacing w:afterLines="220" w:after="528" w:line="240" w:lineRule="auto"/>
        <w:ind w:left="360"/>
      </w:pPr>
      <w:r w:rsidRPr="256AA3A8">
        <w:rPr>
          <w:b/>
          <w:sz w:val="28"/>
          <w:szCs w:val="28"/>
        </w:rPr>
        <w:t xml:space="preserve">Current </w:t>
      </w:r>
      <w:r w:rsidR="00254803" w:rsidRPr="256AA3A8">
        <w:rPr>
          <w:b/>
          <w:sz w:val="28"/>
          <w:szCs w:val="28"/>
        </w:rPr>
        <w:t>Position</w:t>
      </w:r>
      <w:r w:rsidR="00053051" w:rsidRPr="00053051">
        <w:br/>
      </w:r>
    </w:p>
    <w:p w:rsidR="00351012" w:rsidRPr="00991C8E" w:rsidRDefault="00351012" w:rsidP="00351012">
      <w:pPr>
        <w:pStyle w:val="ListParagraph"/>
        <w:spacing w:afterLines="220" w:after="528" w:line="240" w:lineRule="auto"/>
        <w:ind w:left="360"/>
      </w:pPr>
      <w:r w:rsidRPr="00991C8E">
        <w:t>The Authority disposes of small IT equipment via a WEEE collection service provided by our Property team.  This can only take laptops, PC’s and other smaller items.  There is no route for disposal for racking, servers, switches or other network infrastructure.</w:t>
      </w:r>
    </w:p>
    <w:p w:rsidR="00351012" w:rsidRPr="00991C8E" w:rsidRDefault="00351012" w:rsidP="00351012">
      <w:pPr>
        <w:pStyle w:val="ListParagraph"/>
        <w:spacing w:afterLines="220" w:after="528" w:line="240" w:lineRule="auto"/>
        <w:ind w:left="360"/>
      </w:pPr>
    </w:p>
    <w:p w:rsidR="00351012" w:rsidRPr="00991C8E" w:rsidRDefault="00351012" w:rsidP="00351012">
      <w:pPr>
        <w:pStyle w:val="ListParagraph"/>
        <w:spacing w:afterLines="220" w:after="528" w:line="240" w:lineRule="auto"/>
        <w:ind w:left="360"/>
      </w:pPr>
      <w:r w:rsidRPr="00991C8E">
        <w:t>All hard disks are removed before disposal due to there being no secure wiping available via this route.  The disk are stored in a secure location.</w:t>
      </w:r>
    </w:p>
    <w:p w:rsidR="00351012" w:rsidRPr="00991C8E" w:rsidRDefault="00351012" w:rsidP="00351012">
      <w:pPr>
        <w:pStyle w:val="ListParagraph"/>
        <w:spacing w:afterLines="220" w:after="528" w:line="240" w:lineRule="auto"/>
        <w:ind w:left="360"/>
      </w:pPr>
    </w:p>
    <w:p w:rsidR="00F01B85" w:rsidRDefault="00351012" w:rsidP="00351012">
      <w:pPr>
        <w:pStyle w:val="ListParagraph"/>
        <w:spacing w:afterLines="220" w:after="528" w:line="240" w:lineRule="auto"/>
        <w:ind w:left="360"/>
      </w:pPr>
      <w:r w:rsidRPr="00991C8E">
        <w:t>There is an urgent requirement for the removal of a large number of switching items following a network refresh project this year.  The Authority also has small factor PC’s and screens from the rollout of new computers in fire appliances.</w:t>
      </w:r>
      <w:r>
        <w:t xml:space="preserve"> </w:t>
      </w:r>
      <w:r w:rsidR="008F4676">
        <w:t xml:space="preserve"> </w:t>
      </w:r>
    </w:p>
    <w:p w:rsidR="00F01B85" w:rsidRPr="00E83A79" w:rsidRDefault="00EE306F" w:rsidP="00E83A79">
      <w:pPr>
        <w:spacing w:after="0" w:line="240" w:lineRule="auto"/>
        <w:ind w:left="360"/>
        <w:jc w:val="both"/>
        <w:rPr>
          <w:b/>
          <w:sz w:val="28"/>
        </w:rPr>
      </w:pPr>
      <w:r w:rsidRPr="00E83A79">
        <w:rPr>
          <w:b/>
          <w:sz w:val="28"/>
        </w:rPr>
        <w:t>Indicative future requirements</w:t>
      </w:r>
    </w:p>
    <w:p w:rsidR="00E83A79" w:rsidRPr="00E83A79" w:rsidRDefault="00E83A79" w:rsidP="00E83A79">
      <w:pPr>
        <w:spacing w:after="0" w:line="240" w:lineRule="auto"/>
        <w:ind w:left="360"/>
        <w:jc w:val="both"/>
      </w:pPr>
    </w:p>
    <w:p w:rsidR="00894977" w:rsidRDefault="00894977" w:rsidP="00894977">
      <w:pPr>
        <w:spacing w:line="240" w:lineRule="auto"/>
        <w:ind w:left="426"/>
        <w:jc w:val="both"/>
      </w:pPr>
      <w:r>
        <w:t xml:space="preserve">The Authority require data to be deleted from media and equipment sometimes prior to its permanent removal from site for disposal and/or recycling or for assured data destruction. </w:t>
      </w:r>
    </w:p>
    <w:p w:rsidR="00894977" w:rsidRDefault="00894977" w:rsidP="00991C8E">
      <w:pPr>
        <w:spacing w:line="240" w:lineRule="auto"/>
        <w:ind w:left="284"/>
        <w:jc w:val="both"/>
      </w:pPr>
      <w:r>
        <w:t>The framework therefore seeks to appoint contractors to;</w:t>
      </w:r>
    </w:p>
    <w:p w:rsidR="00894977" w:rsidRDefault="00894977" w:rsidP="00991C8E">
      <w:pPr>
        <w:pStyle w:val="ListParagraph"/>
        <w:numPr>
          <w:ilvl w:val="2"/>
          <w:numId w:val="42"/>
        </w:numPr>
        <w:spacing w:line="240" w:lineRule="auto"/>
        <w:ind w:left="1134" w:hanging="567"/>
        <w:jc w:val="both"/>
      </w:pPr>
      <w:r>
        <w:t xml:space="preserve">securely and irreversibly delete data from a range of media either on the customer’s premises or offsite; and </w:t>
      </w:r>
    </w:p>
    <w:p w:rsidR="00894977" w:rsidRDefault="00894977" w:rsidP="00991C8E">
      <w:pPr>
        <w:pStyle w:val="ListParagraph"/>
        <w:numPr>
          <w:ilvl w:val="0"/>
          <w:numId w:val="42"/>
        </w:numPr>
        <w:spacing w:line="240" w:lineRule="auto"/>
        <w:ind w:left="1134" w:hanging="567"/>
        <w:jc w:val="both"/>
      </w:pPr>
      <w:proofErr w:type="gramStart"/>
      <w:r>
        <w:t>securely</w:t>
      </w:r>
      <w:proofErr w:type="gramEnd"/>
      <w:r>
        <w:t xml:space="preserve"> and legally dispose of redundant information and communications technology equipment and media. </w:t>
      </w:r>
    </w:p>
    <w:p w:rsidR="00894977" w:rsidRDefault="00894977" w:rsidP="00991C8E">
      <w:pPr>
        <w:spacing w:line="240" w:lineRule="auto"/>
        <w:ind w:left="284"/>
        <w:jc w:val="both"/>
      </w:pPr>
      <w:r>
        <w:t xml:space="preserve">Once the Framework Agreement has been established, secondary competitions will be completed for each disposal required. The secondary competitions will be undertaken via a Request for Quotation, see Appendix 2, from all Contractors appointed under the Framework Agreement. </w:t>
      </w:r>
    </w:p>
    <w:p w:rsidR="00D31448" w:rsidRDefault="00894977" w:rsidP="00991C8E">
      <w:pPr>
        <w:spacing w:line="240" w:lineRule="auto"/>
        <w:ind w:left="284"/>
        <w:jc w:val="both"/>
      </w:pPr>
      <w:r>
        <w:t>Contractors will be requested to submit a quotation – costs or revenue - for each disposal in line with the Mandatory Requirements contained within the original Framework Agreement Specification. The protocol for secondary competitions can be found at Appendix 3</w:t>
      </w:r>
    </w:p>
    <w:p w:rsidR="00894977" w:rsidRPr="0027438C" w:rsidRDefault="00894977" w:rsidP="0027438C">
      <w:pPr>
        <w:pStyle w:val="ListParagraph"/>
        <w:numPr>
          <w:ilvl w:val="0"/>
          <w:numId w:val="23"/>
        </w:numPr>
        <w:spacing w:line="240" w:lineRule="auto"/>
        <w:jc w:val="both"/>
        <w:rPr>
          <w:b/>
        </w:rPr>
      </w:pPr>
      <w:r w:rsidRPr="0027438C">
        <w:rPr>
          <w:b/>
        </w:rPr>
        <w:lastRenderedPageBreak/>
        <w:t xml:space="preserve">Framework Duration </w:t>
      </w:r>
    </w:p>
    <w:p w:rsidR="00894977" w:rsidRDefault="00894977" w:rsidP="00894977">
      <w:pPr>
        <w:spacing w:line="240" w:lineRule="auto"/>
        <w:jc w:val="both"/>
      </w:pPr>
      <w:r>
        <w:t>The Framework Agreement shall commence upon award and will remain in force for 4 years</w:t>
      </w:r>
      <w:r w:rsidR="0027438C">
        <w:t>, subject to performance</w:t>
      </w:r>
      <w:r>
        <w:t>. It is permissible for a Prime Contractor to subcontract services required under this framework. It is the responsibility of the Prime Contractor to manage their subcontractors and to ensure full compliance with the Mandatory Requirements and the Conditions of Contract.</w:t>
      </w:r>
    </w:p>
    <w:p w:rsidR="0027438C" w:rsidRDefault="0027438C" w:rsidP="00894977">
      <w:pPr>
        <w:spacing w:line="240" w:lineRule="auto"/>
        <w:jc w:val="both"/>
      </w:pPr>
    </w:p>
    <w:p w:rsidR="0027438C" w:rsidRPr="0027438C" w:rsidRDefault="0027438C" w:rsidP="0027438C">
      <w:pPr>
        <w:pStyle w:val="ListParagraph"/>
        <w:numPr>
          <w:ilvl w:val="0"/>
          <w:numId w:val="23"/>
        </w:numPr>
        <w:spacing w:line="240" w:lineRule="auto"/>
        <w:jc w:val="both"/>
        <w:rPr>
          <w:b/>
          <w:bCs/>
        </w:rPr>
      </w:pPr>
      <w:r w:rsidRPr="0027438C">
        <w:rPr>
          <w:b/>
        </w:rPr>
        <w:t>Mandatory Requirements</w:t>
      </w:r>
    </w:p>
    <w:tbl>
      <w:tblPr>
        <w:tblStyle w:val="TableGrid"/>
        <w:tblW w:w="9067" w:type="dxa"/>
        <w:tblLook w:val="04A0" w:firstRow="1" w:lastRow="0" w:firstColumn="1" w:lastColumn="0" w:noHBand="0" w:noVBand="1"/>
      </w:tblPr>
      <w:tblGrid>
        <w:gridCol w:w="1048"/>
        <w:gridCol w:w="4901"/>
        <w:gridCol w:w="3118"/>
      </w:tblGrid>
      <w:tr w:rsidR="0035418A" w:rsidTr="0035418A">
        <w:tc>
          <w:tcPr>
            <w:tcW w:w="1048" w:type="dxa"/>
          </w:tcPr>
          <w:p w:rsidR="0035418A" w:rsidRDefault="0035418A" w:rsidP="0027438C">
            <w:pPr>
              <w:jc w:val="both"/>
              <w:rPr>
                <w:b/>
                <w:bCs/>
              </w:rPr>
            </w:pPr>
            <w:r>
              <w:rPr>
                <w:b/>
                <w:bCs/>
              </w:rPr>
              <w:t>Number</w:t>
            </w:r>
          </w:p>
        </w:tc>
        <w:tc>
          <w:tcPr>
            <w:tcW w:w="4901" w:type="dxa"/>
          </w:tcPr>
          <w:p w:rsidR="0035418A" w:rsidRDefault="0035418A" w:rsidP="0027438C">
            <w:pPr>
              <w:jc w:val="both"/>
              <w:rPr>
                <w:b/>
                <w:bCs/>
              </w:rPr>
            </w:pPr>
            <w:r>
              <w:rPr>
                <w:b/>
                <w:bCs/>
              </w:rPr>
              <w:t>Mandatory Requirement</w:t>
            </w:r>
          </w:p>
        </w:tc>
        <w:tc>
          <w:tcPr>
            <w:tcW w:w="3118" w:type="dxa"/>
          </w:tcPr>
          <w:p w:rsidR="0035418A" w:rsidRDefault="0035418A" w:rsidP="0027438C">
            <w:pPr>
              <w:jc w:val="both"/>
              <w:rPr>
                <w:b/>
                <w:bCs/>
              </w:rPr>
            </w:pPr>
            <w:r>
              <w:rPr>
                <w:b/>
                <w:bCs/>
              </w:rPr>
              <w:t>Supplier Comments on requirement</w:t>
            </w:r>
          </w:p>
        </w:tc>
      </w:tr>
      <w:tr w:rsidR="0035418A" w:rsidTr="0035418A">
        <w:tc>
          <w:tcPr>
            <w:tcW w:w="1048" w:type="dxa"/>
          </w:tcPr>
          <w:p w:rsidR="0035418A" w:rsidRDefault="0035418A" w:rsidP="0027438C">
            <w:pPr>
              <w:jc w:val="both"/>
              <w:rPr>
                <w:b/>
                <w:bCs/>
              </w:rPr>
            </w:pPr>
            <w:r>
              <w:rPr>
                <w:b/>
                <w:bCs/>
              </w:rPr>
              <w:t>MR1</w:t>
            </w:r>
          </w:p>
        </w:tc>
        <w:tc>
          <w:tcPr>
            <w:tcW w:w="4901" w:type="dxa"/>
          </w:tcPr>
          <w:p w:rsidR="0035418A" w:rsidRDefault="0035418A" w:rsidP="0027438C">
            <w:pPr>
              <w:jc w:val="both"/>
              <w:rPr>
                <w:b/>
                <w:bCs/>
              </w:rPr>
            </w:pPr>
            <w:r>
              <w:rPr>
                <w:b/>
                <w:bCs/>
              </w:rPr>
              <w:t>Areas of Disposal</w:t>
            </w:r>
          </w:p>
          <w:p w:rsidR="0035418A" w:rsidRDefault="0035418A" w:rsidP="0027438C">
            <w:pPr>
              <w:jc w:val="both"/>
              <w:rPr>
                <w:b/>
                <w:bCs/>
              </w:rPr>
            </w:pPr>
          </w:p>
          <w:p w:rsidR="0035418A" w:rsidRDefault="0035418A" w:rsidP="0027438C">
            <w:pPr>
              <w:jc w:val="both"/>
              <w:rPr>
                <w:b/>
                <w:bCs/>
              </w:rPr>
            </w:pPr>
            <w:r>
              <w:rPr>
                <w:b/>
                <w:bCs/>
              </w:rPr>
              <w:t>Each Contractor appointed under this Framework must provide disposal services in all of the following areas;</w:t>
            </w:r>
          </w:p>
          <w:p w:rsidR="0035418A" w:rsidRPr="00991C8E" w:rsidRDefault="0035418A" w:rsidP="0027438C">
            <w:pPr>
              <w:jc w:val="both"/>
              <w:rPr>
                <w:bCs/>
              </w:rPr>
            </w:pPr>
            <w:r w:rsidRPr="00991C8E">
              <w:rPr>
                <w:bCs/>
              </w:rPr>
              <w:t>Category 1 – PC base unit</w:t>
            </w:r>
          </w:p>
          <w:p w:rsidR="0035418A" w:rsidRPr="00991C8E" w:rsidRDefault="0035418A" w:rsidP="0027438C">
            <w:pPr>
              <w:jc w:val="both"/>
              <w:rPr>
                <w:bCs/>
              </w:rPr>
            </w:pPr>
            <w:r w:rsidRPr="00991C8E">
              <w:rPr>
                <w:bCs/>
              </w:rPr>
              <w:t>Category 2 – Laptop + PSU</w:t>
            </w:r>
          </w:p>
          <w:p w:rsidR="00516BFB" w:rsidRPr="00991C8E" w:rsidRDefault="0035418A" w:rsidP="009856D7">
            <w:pPr>
              <w:rPr>
                <w:bCs/>
              </w:rPr>
            </w:pPr>
            <w:r w:rsidRPr="00991C8E">
              <w:rPr>
                <w:bCs/>
              </w:rPr>
              <w:t>Category</w:t>
            </w:r>
            <w:r w:rsidR="00C8344B" w:rsidRPr="00991C8E">
              <w:rPr>
                <w:bCs/>
              </w:rPr>
              <w:t xml:space="preserve"> </w:t>
            </w:r>
            <w:r w:rsidR="00050CF2" w:rsidRPr="00991C8E">
              <w:rPr>
                <w:bCs/>
              </w:rPr>
              <w:t xml:space="preserve">3 </w:t>
            </w:r>
            <w:r w:rsidRPr="00991C8E">
              <w:rPr>
                <w:bCs/>
              </w:rPr>
              <w:t>–</w:t>
            </w:r>
            <w:r w:rsidR="00516BFB" w:rsidRPr="00991C8E">
              <w:rPr>
                <w:bCs/>
              </w:rPr>
              <w:t xml:space="preserve"> Data Centre Equipment (</w:t>
            </w:r>
            <w:r w:rsidRPr="00991C8E">
              <w:rPr>
                <w:bCs/>
              </w:rPr>
              <w:t>Servers</w:t>
            </w:r>
            <w:r w:rsidR="00C8344B" w:rsidRPr="00991C8E">
              <w:rPr>
                <w:bCs/>
              </w:rPr>
              <w:t xml:space="preserve"> and</w:t>
            </w:r>
            <w:r w:rsidR="00D0758F" w:rsidRPr="00991C8E">
              <w:rPr>
                <w:bCs/>
              </w:rPr>
              <w:t xml:space="preserve"> </w:t>
            </w:r>
            <w:r w:rsidR="00C8344B" w:rsidRPr="00991C8E">
              <w:rPr>
                <w:bCs/>
              </w:rPr>
              <w:t>rail kits</w:t>
            </w:r>
            <w:r w:rsidR="00516BFB" w:rsidRPr="00991C8E">
              <w:rPr>
                <w:bCs/>
              </w:rPr>
              <w:t>,</w:t>
            </w:r>
            <w:r w:rsidRPr="00991C8E">
              <w:rPr>
                <w:bCs/>
              </w:rPr>
              <w:t xml:space="preserve"> Data Storage Equipment</w:t>
            </w:r>
            <w:r w:rsidR="00516BFB" w:rsidRPr="00991C8E">
              <w:rPr>
                <w:bCs/>
              </w:rPr>
              <w:t>, Racks/</w:t>
            </w:r>
            <w:r w:rsidR="009856D7" w:rsidRPr="00991C8E">
              <w:rPr>
                <w:bCs/>
              </w:rPr>
              <w:t xml:space="preserve">Cabinets, cables and </w:t>
            </w:r>
            <w:r w:rsidR="00C8344B" w:rsidRPr="00991C8E">
              <w:rPr>
                <w:bCs/>
              </w:rPr>
              <w:t>KVM</w:t>
            </w:r>
            <w:r w:rsidR="00516BFB" w:rsidRPr="00991C8E">
              <w:rPr>
                <w:bCs/>
              </w:rPr>
              <w:t>)</w:t>
            </w:r>
          </w:p>
          <w:p w:rsidR="0035418A" w:rsidRPr="00991C8E" w:rsidRDefault="0035418A" w:rsidP="0027438C">
            <w:pPr>
              <w:jc w:val="both"/>
              <w:rPr>
                <w:bCs/>
              </w:rPr>
            </w:pPr>
            <w:r w:rsidRPr="00991C8E">
              <w:rPr>
                <w:bCs/>
              </w:rPr>
              <w:t>Category 4 – Mobile phones + Tablet Devices</w:t>
            </w:r>
          </w:p>
          <w:p w:rsidR="0035418A" w:rsidRPr="00991C8E" w:rsidRDefault="0035418A" w:rsidP="00B77A39">
            <w:pPr>
              <w:jc w:val="both"/>
              <w:rPr>
                <w:bCs/>
              </w:rPr>
            </w:pPr>
            <w:r w:rsidRPr="00991C8E">
              <w:rPr>
                <w:bCs/>
              </w:rPr>
              <w:t xml:space="preserve">Category 5 – Monitors </w:t>
            </w:r>
          </w:p>
          <w:p w:rsidR="0035418A" w:rsidRPr="00991C8E" w:rsidRDefault="0035418A" w:rsidP="00B77A39">
            <w:pPr>
              <w:jc w:val="both"/>
              <w:rPr>
                <w:bCs/>
              </w:rPr>
            </w:pPr>
            <w:r w:rsidRPr="00991C8E">
              <w:rPr>
                <w:bCs/>
              </w:rPr>
              <w:t xml:space="preserve">Category </w:t>
            </w:r>
            <w:r w:rsidR="00050CF2" w:rsidRPr="00991C8E">
              <w:rPr>
                <w:bCs/>
              </w:rPr>
              <w:t>6</w:t>
            </w:r>
            <w:r w:rsidRPr="00991C8E">
              <w:rPr>
                <w:bCs/>
              </w:rPr>
              <w:t xml:space="preserve"> – Network equipment</w:t>
            </w:r>
            <w:r w:rsidR="00516BFB" w:rsidRPr="00991C8E">
              <w:rPr>
                <w:bCs/>
              </w:rPr>
              <w:t xml:space="preserve"> (e.g. Switches, access points and cabling)</w:t>
            </w:r>
          </w:p>
          <w:p w:rsidR="0035418A" w:rsidRPr="00991C8E" w:rsidRDefault="0035418A" w:rsidP="0027438C">
            <w:pPr>
              <w:jc w:val="both"/>
              <w:rPr>
                <w:bCs/>
              </w:rPr>
            </w:pPr>
            <w:r w:rsidRPr="00991C8E">
              <w:rPr>
                <w:bCs/>
              </w:rPr>
              <w:t xml:space="preserve">Category </w:t>
            </w:r>
            <w:r w:rsidR="00050CF2" w:rsidRPr="00991C8E">
              <w:rPr>
                <w:bCs/>
              </w:rPr>
              <w:t>7</w:t>
            </w:r>
            <w:r w:rsidRPr="00991C8E">
              <w:rPr>
                <w:bCs/>
              </w:rPr>
              <w:t xml:space="preserve"> – MFD and Laser Printers</w:t>
            </w:r>
          </w:p>
          <w:p w:rsidR="0035418A" w:rsidRPr="00991C8E" w:rsidRDefault="0035418A" w:rsidP="0027438C">
            <w:pPr>
              <w:jc w:val="both"/>
              <w:rPr>
                <w:bCs/>
              </w:rPr>
            </w:pPr>
            <w:r w:rsidRPr="00991C8E">
              <w:rPr>
                <w:bCs/>
              </w:rPr>
              <w:t>Category 8 – Projectors</w:t>
            </w:r>
          </w:p>
          <w:p w:rsidR="0035418A" w:rsidRPr="00991C8E" w:rsidRDefault="0035418A" w:rsidP="0027438C">
            <w:pPr>
              <w:jc w:val="both"/>
              <w:rPr>
                <w:bCs/>
              </w:rPr>
            </w:pPr>
            <w:r w:rsidRPr="00991C8E">
              <w:rPr>
                <w:bCs/>
              </w:rPr>
              <w:t>Category 9 – UPS</w:t>
            </w:r>
          </w:p>
          <w:p w:rsidR="0035418A" w:rsidRPr="00991C8E" w:rsidRDefault="0035418A" w:rsidP="0027438C">
            <w:pPr>
              <w:jc w:val="both"/>
              <w:rPr>
                <w:bCs/>
              </w:rPr>
            </w:pPr>
            <w:r w:rsidRPr="00991C8E">
              <w:rPr>
                <w:bCs/>
              </w:rPr>
              <w:t>Category 10 – Scanners</w:t>
            </w:r>
          </w:p>
          <w:p w:rsidR="0035418A" w:rsidRPr="00991C8E" w:rsidRDefault="0035418A" w:rsidP="0027438C">
            <w:pPr>
              <w:jc w:val="both"/>
              <w:rPr>
                <w:bCs/>
              </w:rPr>
            </w:pPr>
            <w:r w:rsidRPr="00991C8E">
              <w:rPr>
                <w:bCs/>
              </w:rPr>
              <w:t>Category 11 – Loose HDD, Tapes, CDs, USB Drives, Access Cards</w:t>
            </w:r>
          </w:p>
          <w:p w:rsidR="0035418A" w:rsidRPr="00991C8E" w:rsidRDefault="0035418A" w:rsidP="0027438C">
            <w:pPr>
              <w:jc w:val="both"/>
              <w:rPr>
                <w:bCs/>
              </w:rPr>
            </w:pPr>
            <w:r w:rsidRPr="00991C8E">
              <w:rPr>
                <w:bCs/>
              </w:rPr>
              <w:t>Category 1</w:t>
            </w:r>
            <w:r w:rsidR="00050CF2" w:rsidRPr="00991C8E">
              <w:rPr>
                <w:bCs/>
              </w:rPr>
              <w:t>2</w:t>
            </w:r>
            <w:r w:rsidRPr="00991C8E">
              <w:rPr>
                <w:bCs/>
              </w:rPr>
              <w:t xml:space="preserve"> – Small e.g. telephone, keyboard, docking stations, mice, DVD player, Cables</w:t>
            </w:r>
            <w:r w:rsidR="009856D7" w:rsidRPr="00991C8E">
              <w:rPr>
                <w:bCs/>
              </w:rPr>
              <w:t>/USB plugs</w:t>
            </w:r>
          </w:p>
          <w:p w:rsidR="0035418A" w:rsidRPr="00991C8E" w:rsidRDefault="0035418A" w:rsidP="0035418A">
            <w:pPr>
              <w:jc w:val="both"/>
              <w:rPr>
                <w:bCs/>
              </w:rPr>
            </w:pPr>
            <w:r w:rsidRPr="00991C8E">
              <w:rPr>
                <w:bCs/>
              </w:rPr>
              <w:t>Category 1</w:t>
            </w:r>
            <w:r w:rsidR="00050CF2" w:rsidRPr="00991C8E">
              <w:rPr>
                <w:bCs/>
              </w:rPr>
              <w:t>3</w:t>
            </w:r>
            <w:r w:rsidRPr="00991C8E">
              <w:rPr>
                <w:bCs/>
              </w:rPr>
              <w:t xml:space="preserve"> – TV Screen</w:t>
            </w:r>
          </w:p>
          <w:p w:rsidR="009856D7" w:rsidRPr="00991C8E" w:rsidRDefault="009856D7" w:rsidP="0035418A">
            <w:pPr>
              <w:jc w:val="both"/>
              <w:rPr>
                <w:bCs/>
              </w:rPr>
            </w:pPr>
            <w:r w:rsidRPr="00991C8E">
              <w:rPr>
                <w:bCs/>
              </w:rPr>
              <w:t xml:space="preserve">Category 14 – Batteries (e.g. radios, phones and laptops if removed separately) </w:t>
            </w:r>
          </w:p>
          <w:p w:rsidR="0035418A" w:rsidRDefault="0035418A" w:rsidP="0035418A">
            <w:pPr>
              <w:jc w:val="both"/>
              <w:rPr>
                <w:b/>
                <w:bCs/>
              </w:rPr>
            </w:pPr>
          </w:p>
        </w:tc>
        <w:tc>
          <w:tcPr>
            <w:tcW w:w="3118" w:type="dxa"/>
          </w:tcPr>
          <w:p w:rsidR="0035418A" w:rsidRDefault="0035418A" w:rsidP="0027438C">
            <w:pPr>
              <w:jc w:val="both"/>
              <w:rPr>
                <w:b/>
                <w:bCs/>
              </w:rPr>
            </w:pPr>
          </w:p>
        </w:tc>
      </w:tr>
      <w:tr w:rsidR="0035418A" w:rsidTr="0035418A">
        <w:tc>
          <w:tcPr>
            <w:tcW w:w="1048" w:type="dxa"/>
          </w:tcPr>
          <w:p w:rsidR="0035418A" w:rsidRDefault="0035418A" w:rsidP="0027438C">
            <w:pPr>
              <w:jc w:val="both"/>
              <w:rPr>
                <w:b/>
                <w:bCs/>
              </w:rPr>
            </w:pPr>
            <w:r>
              <w:rPr>
                <w:b/>
                <w:bCs/>
              </w:rPr>
              <w:t>MR2</w:t>
            </w:r>
          </w:p>
        </w:tc>
        <w:tc>
          <w:tcPr>
            <w:tcW w:w="4901" w:type="dxa"/>
          </w:tcPr>
          <w:p w:rsidR="0035418A" w:rsidRDefault="005A5EEA" w:rsidP="0027438C">
            <w:pPr>
              <w:jc w:val="both"/>
              <w:rPr>
                <w:b/>
                <w:bCs/>
              </w:rPr>
            </w:pPr>
            <w:r w:rsidRPr="00991C8E">
              <w:rPr>
                <w:b/>
                <w:bCs/>
              </w:rPr>
              <w:t>Environmental</w:t>
            </w:r>
            <w:r w:rsidR="0035418A">
              <w:rPr>
                <w:b/>
                <w:bCs/>
              </w:rPr>
              <w:t xml:space="preserve"> Management Systems</w:t>
            </w:r>
          </w:p>
          <w:p w:rsidR="0035418A" w:rsidRDefault="0035418A" w:rsidP="0027438C">
            <w:pPr>
              <w:jc w:val="both"/>
              <w:rPr>
                <w:b/>
                <w:bCs/>
              </w:rPr>
            </w:pPr>
          </w:p>
          <w:p w:rsidR="0035418A" w:rsidRPr="0035418A" w:rsidRDefault="0035418A" w:rsidP="0035418A">
            <w:pPr>
              <w:jc w:val="both"/>
              <w:rPr>
                <w:bCs/>
              </w:rPr>
            </w:pPr>
            <w:r w:rsidRPr="0035418A">
              <w:rPr>
                <w:bCs/>
              </w:rPr>
              <w:t>Each Contractor appointed under this framework must</w:t>
            </w:r>
            <w:r>
              <w:rPr>
                <w:bCs/>
              </w:rPr>
              <w:t xml:space="preserve"> </w:t>
            </w:r>
            <w:r w:rsidRPr="0035418A">
              <w:rPr>
                <w:bCs/>
              </w:rPr>
              <w:t xml:space="preserve">have BS EN </w:t>
            </w:r>
            <w:r>
              <w:rPr>
                <w:bCs/>
              </w:rPr>
              <w:t xml:space="preserve">ISO 14001; 2004 – Environmental </w:t>
            </w:r>
            <w:r w:rsidRPr="0035418A">
              <w:rPr>
                <w:bCs/>
              </w:rPr>
              <w:t>Management System accreditation (or equivalent).</w:t>
            </w:r>
          </w:p>
          <w:p w:rsidR="0035418A" w:rsidRPr="0035418A" w:rsidRDefault="0035418A" w:rsidP="0035418A">
            <w:pPr>
              <w:jc w:val="both"/>
              <w:rPr>
                <w:bCs/>
              </w:rPr>
            </w:pPr>
            <w:r w:rsidRPr="0035418A">
              <w:rPr>
                <w:bCs/>
              </w:rPr>
              <w:t>This accreditation (or equivalent) must remain valid throughout the duration of the framework.</w:t>
            </w:r>
          </w:p>
          <w:p w:rsidR="0035418A" w:rsidRDefault="0035418A" w:rsidP="0035418A">
            <w:pPr>
              <w:jc w:val="both"/>
              <w:rPr>
                <w:b/>
                <w:bCs/>
              </w:rPr>
            </w:pPr>
            <w:r w:rsidRPr="0035418A">
              <w:rPr>
                <w:bCs/>
              </w:rPr>
              <w:t>Valid certificate of accreditation (or equivalent) must be made available for viewing at the Site Validation Visit and the Authority reserves the right to request a copy of the ISO certification (or equivalent) at any</w:t>
            </w:r>
            <w:r>
              <w:rPr>
                <w:bCs/>
              </w:rPr>
              <w:t xml:space="preserve"> </w:t>
            </w:r>
            <w:r>
              <w:t xml:space="preserve">point through the life of the Framework contract period. Any such request </w:t>
            </w:r>
            <w:r>
              <w:lastRenderedPageBreak/>
              <w:t>must be responded to within 10 working days. If certificates (or equivalent) are not made available within the 10 working days of request the contractor will not be invited to secondary competitions until the certificates have been made available.</w:t>
            </w:r>
          </w:p>
        </w:tc>
        <w:tc>
          <w:tcPr>
            <w:tcW w:w="3118" w:type="dxa"/>
          </w:tcPr>
          <w:p w:rsidR="0035418A" w:rsidRDefault="0035418A" w:rsidP="0027438C">
            <w:pPr>
              <w:jc w:val="both"/>
              <w:rPr>
                <w:b/>
                <w:bCs/>
              </w:rPr>
            </w:pPr>
          </w:p>
        </w:tc>
      </w:tr>
      <w:tr w:rsidR="0035418A" w:rsidTr="0035418A">
        <w:tc>
          <w:tcPr>
            <w:tcW w:w="1048" w:type="dxa"/>
          </w:tcPr>
          <w:p w:rsidR="0035418A" w:rsidRDefault="0035418A" w:rsidP="0027438C">
            <w:pPr>
              <w:jc w:val="both"/>
              <w:rPr>
                <w:b/>
                <w:bCs/>
              </w:rPr>
            </w:pPr>
            <w:r>
              <w:rPr>
                <w:b/>
                <w:bCs/>
              </w:rPr>
              <w:t>MR3</w:t>
            </w:r>
          </w:p>
        </w:tc>
        <w:tc>
          <w:tcPr>
            <w:tcW w:w="4901" w:type="dxa"/>
          </w:tcPr>
          <w:p w:rsidR="0035418A" w:rsidRPr="0035418A" w:rsidRDefault="0035418A" w:rsidP="0027438C">
            <w:pPr>
              <w:jc w:val="both"/>
              <w:rPr>
                <w:b/>
              </w:rPr>
            </w:pPr>
            <w:r w:rsidRPr="0035418A">
              <w:rPr>
                <w:b/>
              </w:rPr>
              <w:t xml:space="preserve">Quality Management Systems </w:t>
            </w:r>
          </w:p>
          <w:p w:rsidR="0035418A" w:rsidRDefault="0035418A" w:rsidP="0027438C">
            <w:pPr>
              <w:jc w:val="both"/>
            </w:pPr>
          </w:p>
          <w:p w:rsidR="0035418A" w:rsidRDefault="0035418A" w:rsidP="0027438C">
            <w:pPr>
              <w:jc w:val="both"/>
            </w:pPr>
            <w:r>
              <w:t xml:space="preserve">Each Contractor appointed under this framework must have ISO 9001: 2000 Quality Management System accreditation (or equivalent). </w:t>
            </w:r>
          </w:p>
          <w:p w:rsidR="0035418A" w:rsidRDefault="0035418A" w:rsidP="0027438C">
            <w:pPr>
              <w:jc w:val="both"/>
            </w:pPr>
          </w:p>
          <w:p w:rsidR="0035418A" w:rsidRDefault="0035418A" w:rsidP="0035418A">
            <w:pPr>
              <w:jc w:val="both"/>
            </w:pPr>
            <w:r>
              <w:t xml:space="preserve">Any equivalent Quality Management System must as a minimum ensure that processes to make certain the following are in place: </w:t>
            </w:r>
          </w:p>
          <w:p w:rsidR="0035418A" w:rsidRDefault="0035418A" w:rsidP="0035418A">
            <w:pPr>
              <w:pStyle w:val="ListParagraph"/>
              <w:numPr>
                <w:ilvl w:val="0"/>
                <w:numId w:val="43"/>
              </w:numPr>
              <w:jc w:val="both"/>
            </w:pPr>
            <w:r>
              <w:t xml:space="preserve">a set of procedures that cover all key processes in the business; </w:t>
            </w:r>
          </w:p>
          <w:p w:rsidR="0035418A" w:rsidRDefault="0035418A" w:rsidP="0035418A">
            <w:pPr>
              <w:pStyle w:val="ListParagraph"/>
              <w:numPr>
                <w:ilvl w:val="0"/>
                <w:numId w:val="43"/>
              </w:numPr>
              <w:jc w:val="both"/>
            </w:pPr>
            <w:r>
              <w:t xml:space="preserve">a system for monitoring processes to ensure they are effective; • adequate records are kept; </w:t>
            </w:r>
          </w:p>
          <w:p w:rsidR="0035418A" w:rsidRDefault="0035418A" w:rsidP="0035418A">
            <w:pPr>
              <w:pStyle w:val="ListParagraph"/>
              <w:numPr>
                <w:ilvl w:val="0"/>
                <w:numId w:val="43"/>
              </w:numPr>
              <w:jc w:val="both"/>
            </w:pPr>
            <w:r>
              <w:t xml:space="preserve">a system for checking output for defects with appropriate and corrective action where necessary; </w:t>
            </w:r>
          </w:p>
          <w:p w:rsidR="0035418A" w:rsidRDefault="0035418A" w:rsidP="0035418A">
            <w:pPr>
              <w:pStyle w:val="ListParagraph"/>
              <w:numPr>
                <w:ilvl w:val="0"/>
                <w:numId w:val="43"/>
              </w:numPr>
              <w:jc w:val="both"/>
            </w:pPr>
            <w:r>
              <w:t>regular reviews of individual processes and the quality system itself for effectiveness; and</w:t>
            </w:r>
          </w:p>
          <w:p w:rsidR="0035418A" w:rsidRDefault="0035418A" w:rsidP="0035418A">
            <w:pPr>
              <w:pStyle w:val="ListParagraph"/>
              <w:numPr>
                <w:ilvl w:val="0"/>
                <w:numId w:val="43"/>
              </w:numPr>
              <w:jc w:val="both"/>
            </w:pPr>
            <w:proofErr w:type="gramStart"/>
            <w:r>
              <w:t>the</w:t>
            </w:r>
            <w:proofErr w:type="gramEnd"/>
            <w:r>
              <w:t xml:space="preserve"> facilitation of continual improvement. </w:t>
            </w:r>
          </w:p>
          <w:p w:rsidR="0035418A" w:rsidRDefault="0035418A" w:rsidP="0035418A">
            <w:pPr>
              <w:jc w:val="both"/>
            </w:pPr>
          </w:p>
          <w:p w:rsidR="0035418A" w:rsidRDefault="0035418A" w:rsidP="0035418A">
            <w:pPr>
              <w:jc w:val="both"/>
            </w:pPr>
            <w:r>
              <w:t>This accreditation (or equivalent) must remain valid throughout the duration of the framework.</w:t>
            </w:r>
          </w:p>
          <w:p w:rsidR="0035418A" w:rsidRDefault="0035418A" w:rsidP="0035418A">
            <w:pPr>
              <w:jc w:val="both"/>
            </w:pPr>
          </w:p>
          <w:p w:rsidR="0035418A" w:rsidRDefault="0035418A" w:rsidP="0035418A">
            <w:pPr>
              <w:jc w:val="both"/>
            </w:pPr>
            <w:r>
              <w:t xml:space="preserve">Valid certificates of accreditation must be made available for viewing at the Site Validation Visit and the Authority reserves the right to request a copy of the ISO certification (or equivalent) at any point through the life of the framework contract period. </w:t>
            </w:r>
          </w:p>
          <w:p w:rsidR="0035418A" w:rsidRDefault="0035418A" w:rsidP="0035418A">
            <w:pPr>
              <w:jc w:val="both"/>
            </w:pPr>
          </w:p>
          <w:p w:rsidR="0035418A" w:rsidRDefault="0035418A" w:rsidP="0035418A">
            <w:pPr>
              <w:jc w:val="both"/>
              <w:rPr>
                <w:b/>
                <w:bCs/>
              </w:rPr>
            </w:pPr>
            <w:r>
              <w:t>Any such request must be responded to within 10 working days. If certificates (or equivalent) are not made available within the 10 working days of request the contractor will not be invited to secondary competition until the certificates have been made available.</w:t>
            </w:r>
          </w:p>
        </w:tc>
        <w:tc>
          <w:tcPr>
            <w:tcW w:w="3118" w:type="dxa"/>
          </w:tcPr>
          <w:p w:rsidR="0035418A" w:rsidRDefault="0035418A" w:rsidP="0027438C">
            <w:pPr>
              <w:jc w:val="both"/>
              <w:rPr>
                <w:b/>
                <w:bCs/>
              </w:rPr>
            </w:pPr>
          </w:p>
        </w:tc>
      </w:tr>
      <w:tr w:rsidR="0035418A" w:rsidTr="0035418A">
        <w:tc>
          <w:tcPr>
            <w:tcW w:w="1048" w:type="dxa"/>
          </w:tcPr>
          <w:p w:rsidR="0035418A" w:rsidRDefault="0035418A" w:rsidP="0027438C">
            <w:pPr>
              <w:jc w:val="both"/>
              <w:rPr>
                <w:b/>
                <w:bCs/>
              </w:rPr>
            </w:pPr>
            <w:r>
              <w:rPr>
                <w:b/>
                <w:bCs/>
              </w:rPr>
              <w:t>MR4</w:t>
            </w:r>
          </w:p>
        </w:tc>
        <w:tc>
          <w:tcPr>
            <w:tcW w:w="4901" w:type="dxa"/>
          </w:tcPr>
          <w:p w:rsidR="0035418A" w:rsidRDefault="0035418A" w:rsidP="0035418A">
            <w:pPr>
              <w:jc w:val="both"/>
              <w:rPr>
                <w:b/>
              </w:rPr>
            </w:pPr>
            <w:r w:rsidRPr="0035418A">
              <w:rPr>
                <w:b/>
              </w:rPr>
              <w:t>Data Wiping</w:t>
            </w:r>
          </w:p>
          <w:p w:rsidR="0035418A" w:rsidRPr="0035418A" w:rsidRDefault="0035418A" w:rsidP="0035418A">
            <w:pPr>
              <w:jc w:val="both"/>
              <w:rPr>
                <w:b/>
              </w:rPr>
            </w:pPr>
          </w:p>
          <w:p w:rsidR="0035418A" w:rsidRPr="0035418A" w:rsidRDefault="0035418A" w:rsidP="0035418A">
            <w:pPr>
              <w:jc w:val="both"/>
            </w:pPr>
            <w:r w:rsidRPr="0035418A">
              <w:t>Each Contractor appointed under this Framework must provide both onsite and</w:t>
            </w:r>
            <w:r>
              <w:t xml:space="preserve"> offsite, a data wiping service </w:t>
            </w:r>
            <w:r w:rsidRPr="0035418A">
              <w:t>which meets the CESG/</w:t>
            </w:r>
            <w:proofErr w:type="spellStart"/>
            <w:r w:rsidRPr="0035418A">
              <w:t>Infosec</w:t>
            </w:r>
            <w:proofErr w:type="spellEnd"/>
            <w:r w:rsidRPr="0035418A">
              <w:t xml:space="preserve"> criterion.</w:t>
            </w:r>
          </w:p>
          <w:p w:rsidR="0035418A" w:rsidRDefault="0035418A" w:rsidP="0035418A">
            <w:pPr>
              <w:jc w:val="both"/>
            </w:pPr>
          </w:p>
          <w:p w:rsidR="0035418A" w:rsidRPr="0035418A" w:rsidRDefault="0035418A" w:rsidP="0035418A">
            <w:pPr>
              <w:jc w:val="both"/>
            </w:pPr>
            <w:r w:rsidRPr="0035418A">
              <w:t xml:space="preserve">Please note that any data bearing devices must </w:t>
            </w:r>
          </w:p>
          <w:p w:rsidR="0035418A" w:rsidRPr="0035418A" w:rsidRDefault="0035418A" w:rsidP="0035418A">
            <w:pPr>
              <w:jc w:val="both"/>
            </w:pPr>
            <w:proofErr w:type="gramStart"/>
            <w:r w:rsidRPr="0035418A">
              <w:t>be</w:t>
            </w:r>
            <w:proofErr w:type="gramEnd"/>
            <w:r w:rsidRPr="0035418A">
              <w:t xml:space="preserve"> securely wiped within </w:t>
            </w:r>
            <w:r w:rsidRPr="0035418A">
              <w:rPr>
                <w:highlight w:val="yellow"/>
              </w:rPr>
              <w:t>the UK</w:t>
            </w:r>
            <w:r w:rsidRPr="0035418A">
              <w:t>.</w:t>
            </w:r>
          </w:p>
          <w:p w:rsidR="0035418A" w:rsidRDefault="0035418A" w:rsidP="0035418A">
            <w:pPr>
              <w:jc w:val="both"/>
            </w:pPr>
          </w:p>
          <w:p w:rsidR="0035418A" w:rsidRDefault="0035418A" w:rsidP="0035418A">
            <w:pPr>
              <w:jc w:val="both"/>
            </w:pPr>
            <w:r w:rsidRPr="0035418A">
              <w:lastRenderedPageBreak/>
              <w:t>On some occasions, by prior arrangement, a witness may wish to observe and/or conduct tests on a sample to ensure the successful completion of the wiping of hard drives by attempting to access data previously on a wiped device or media.</w:t>
            </w:r>
          </w:p>
          <w:p w:rsidR="0035418A" w:rsidRPr="0035418A" w:rsidRDefault="0035418A" w:rsidP="0035418A">
            <w:pPr>
              <w:jc w:val="both"/>
            </w:pPr>
          </w:p>
          <w:p w:rsidR="0035418A" w:rsidRPr="0035418A" w:rsidRDefault="0035418A" w:rsidP="0035418A">
            <w:pPr>
              <w:jc w:val="both"/>
            </w:pPr>
            <w:r w:rsidRPr="0035418A">
              <w:t xml:space="preserve">Where data wiping is taking place </w:t>
            </w:r>
            <w:proofErr w:type="spellStart"/>
            <w:r w:rsidRPr="0035418A">
              <w:t>off site</w:t>
            </w:r>
            <w:proofErr w:type="spellEnd"/>
            <w:r w:rsidRPr="0035418A">
              <w:t xml:space="preserve"> the </w:t>
            </w:r>
          </w:p>
          <w:p w:rsidR="0035418A" w:rsidRPr="0035418A" w:rsidRDefault="00E86F33" w:rsidP="0035418A">
            <w:pPr>
              <w:jc w:val="both"/>
            </w:pPr>
            <w:r>
              <w:t>Authority</w:t>
            </w:r>
            <w:r w:rsidR="0035418A" w:rsidRPr="0035418A">
              <w:t xml:space="preserve"> may request that a sample item is returned for this testing to be completed.</w:t>
            </w:r>
          </w:p>
          <w:p w:rsidR="0035418A" w:rsidRPr="0035418A" w:rsidRDefault="0035418A" w:rsidP="0035418A">
            <w:pPr>
              <w:jc w:val="both"/>
            </w:pPr>
            <w:r w:rsidRPr="0035418A">
              <w:t>Please note Encryption and ‘Advanced Technology Attachment (ATA) Secure Erase’ are NOT considered appropriate sanitisation techniques. The use of encryption is not considered a valid method of</w:t>
            </w:r>
            <w:r>
              <w:t xml:space="preserve"> </w:t>
            </w:r>
            <w:r w:rsidRPr="0035418A">
              <w:t>sanitising existing data</w:t>
            </w:r>
            <w:r>
              <w:t>.</w:t>
            </w:r>
          </w:p>
        </w:tc>
        <w:tc>
          <w:tcPr>
            <w:tcW w:w="3118" w:type="dxa"/>
          </w:tcPr>
          <w:p w:rsidR="0035418A" w:rsidRDefault="0035418A" w:rsidP="0027438C">
            <w:pPr>
              <w:jc w:val="both"/>
              <w:rPr>
                <w:b/>
                <w:bCs/>
              </w:rPr>
            </w:pPr>
          </w:p>
        </w:tc>
      </w:tr>
      <w:tr w:rsidR="0035418A" w:rsidTr="0035418A">
        <w:tc>
          <w:tcPr>
            <w:tcW w:w="1048" w:type="dxa"/>
          </w:tcPr>
          <w:p w:rsidR="0035418A" w:rsidRDefault="0058456B" w:rsidP="0027438C">
            <w:pPr>
              <w:jc w:val="both"/>
              <w:rPr>
                <w:b/>
                <w:bCs/>
              </w:rPr>
            </w:pPr>
            <w:r>
              <w:rPr>
                <w:b/>
                <w:bCs/>
              </w:rPr>
              <w:t>MR5</w:t>
            </w:r>
          </w:p>
        </w:tc>
        <w:tc>
          <w:tcPr>
            <w:tcW w:w="4901" w:type="dxa"/>
          </w:tcPr>
          <w:p w:rsidR="0058456B" w:rsidRPr="0058456B" w:rsidRDefault="0058456B" w:rsidP="0035418A">
            <w:pPr>
              <w:jc w:val="both"/>
              <w:rPr>
                <w:b/>
              </w:rPr>
            </w:pPr>
            <w:r w:rsidRPr="0058456B">
              <w:rPr>
                <w:b/>
              </w:rPr>
              <w:t xml:space="preserve">Confirmation of Destruction/Wiping </w:t>
            </w:r>
          </w:p>
          <w:p w:rsidR="0058456B" w:rsidRDefault="0058456B" w:rsidP="0035418A">
            <w:pPr>
              <w:jc w:val="both"/>
            </w:pPr>
          </w:p>
          <w:p w:rsidR="0058456B" w:rsidRDefault="0058456B" w:rsidP="0035418A">
            <w:pPr>
              <w:jc w:val="both"/>
            </w:pPr>
            <w:r>
              <w:t xml:space="preserve">Each Contractor appointed under this Framework must provide the </w:t>
            </w:r>
            <w:r w:rsidR="00E86F33">
              <w:t>Authority</w:t>
            </w:r>
            <w:r>
              <w:t xml:space="preserve"> with confirmation that all data has been destroyed / wiped in compliance with </w:t>
            </w:r>
            <w:r w:rsidRPr="0058456B">
              <w:rPr>
                <w:highlight w:val="yellow"/>
              </w:rPr>
              <w:t>CESG</w:t>
            </w:r>
            <w:r w:rsidR="00991C8E">
              <w:rPr>
                <w:highlight w:val="yellow"/>
              </w:rPr>
              <w:t xml:space="preserve"> </w:t>
            </w:r>
            <w:proofErr w:type="spellStart"/>
            <w:r w:rsidR="00991C8E">
              <w:rPr>
                <w:highlight w:val="yellow"/>
              </w:rPr>
              <w:t>Infosec</w:t>
            </w:r>
            <w:proofErr w:type="spellEnd"/>
            <w:r w:rsidR="00991C8E">
              <w:rPr>
                <w:highlight w:val="yellow"/>
              </w:rPr>
              <w:t xml:space="preserve"> Standard 5</w:t>
            </w:r>
            <w:r w:rsidRPr="0058456B">
              <w:rPr>
                <w:highlight w:val="yellow"/>
              </w:rPr>
              <w:t>.</w:t>
            </w:r>
            <w:r>
              <w:t xml:space="preserve"> This confirmation must be provided by completing the final column on the Request for Quotation form - Date Off Site Wiping / Shredding completed </w:t>
            </w:r>
          </w:p>
          <w:p w:rsidR="0058456B" w:rsidRDefault="0058456B" w:rsidP="0035418A">
            <w:pPr>
              <w:jc w:val="both"/>
            </w:pPr>
          </w:p>
          <w:p w:rsidR="0035418A" w:rsidRPr="0035418A" w:rsidRDefault="0058456B" w:rsidP="0035418A">
            <w:pPr>
              <w:jc w:val="both"/>
              <w:rPr>
                <w:b/>
              </w:rPr>
            </w:pPr>
            <w:r>
              <w:t xml:space="preserve">This form must be returned to the </w:t>
            </w:r>
            <w:r w:rsidR="00E86F33">
              <w:t>Authority</w:t>
            </w:r>
            <w:r>
              <w:t xml:space="preserve"> once complete within 15 working days from collection of items</w:t>
            </w:r>
          </w:p>
        </w:tc>
        <w:tc>
          <w:tcPr>
            <w:tcW w:w="3118" w:type="dxa"/>
          </w:tcPr>
          <w:p w:rsidR="0035418A" w:rsidRDefault="0035418A" w:rsidP="0027438C">
            <w:pPr>
              <w:jc w:val="both"/>
              <w:rPr>
                <w:b/>
                <w:bCs/>
              </w:rPr>
            </w:pPr>
          </w:p>
        </w:tc>
      </w:tr>
      <w:tr w:rsidR="0058456B" w:rsidTr="0035418A">
        <w:tc>
          <w:tcPr>
            <w:tcW w:w="1048" w:type="dxa"/>
          </w:tcPr>
          <w:p w:rsidR="0058456B" w:rsidRDefault="0058456B" w:rsidP="0027438C">
            <w:pPr>
              <w:jc w:val="both"/>
              <w:rPr>
                <w:b/>
                <w:bCs/>
              </w:rPr>
            </w:pPr>
            <w:r>
              <w:rPr>
                <w:b/>
                <w:bCs/>
              </w:rPr>
              <w:t>MR6</w:t>
            </w:r>
          </w:p>
        </w:tc>
        <w:tc>
          <w:tcPr>
            <w:tcW w:w="4901" w:type="dxa"/>
          </w:tcPr>
          <w:p w:rsidR="0058456B" w:rsidRPr="0058456B" w:rsidRDefault="0058456B" w:rsidP="0035418A">
            <w:pPr>
              <w:jc w:val="both"/>
              <w:rPr>
                <w:b/>
              </w:rPr>
            </w:pPr>
            <w:r w:rsidRPr="0058456B">
              <w:rPr>
                <w:b/>
              </w:rPr>
              <w:t xml:space="preserve">Resale </w:t>
            </w:r>
          </w:p>
          <w:p w:rsidR="0058456B" w:rsidRDefault="0058456B" w:rsidP="0035418A">
            <w:pPr>
              <w:jc w:val="both"/>
            </w:pPr>
          </w:p>
          <w:p w:rsidR="0058456B" w:rsidRDefault="0058456B" w:rsidP="0058456B">
            <w:pPr>
              <w:jc w:val="both"/>
            </w:pPr>
            <w:r>
              <w:t xml:space="preserve">Each Contractor appointed under this framework may resell electrical / cleansed equipment. </w:t>
            </w:r>
          </w:p>
          <w:p w:rsidR="0058456B" w:rsidRDefault="0058456B" w:rsidP="0058456B">
            <w:pPr>
              <w:jc w:val="both"/>
            </w:pPr>
          </w:p>
          <w:p w:rsidR="0058456B" w:rsidRDefault="0058456B" w:rsidP="0058456B">
            <w:pPr>
              <w:jc w:val="both"/>
            </w:pPr>
            <w:r>
              <w:t xml:space="preserve">It is expected that some of the revenue from any resale will be paid to the Authority. This value must be incorporated into the Request for Quotation form. </w:t>
            </w:r>
          </w:p>
          <w:p w:rsidR="0058456B" w:rsidRDefault="0058456B" w:rsidP="0058456B">
            <w:pPr>
              <w:jc w:val="both"/>
            </w:pPr>
          </w:p>
          <w:p w:rsidR="0058456B" w:rsidRDefault="0058456B" w:rsidP="0058456B">
            <w:pPr>
              <w:jc w:val="both"/>
            </w:pPr>
            <w:r>
              <w:t xml:space="preserve">Please note that any data bearing devices must be securely wiped within </w:t>
            </w:r>
            <w:r w:rsidRPr="0058456B">
              <w:rPr>
                <w:highlight w:val="yellow"/>
              </w:rPr>
              <w:t>the UK</w:t>
            </w:r>
            <w:r>
              <w:t xml:space="preserve"> before resale or transport. </w:t>
            </w:r>
          </w:p>
          <w:p w:rsidR="0058456B" w:rsidRDefault="0058456B" w:rsidP="0058456B">
            <w:pPr>
              <w:jc w:val="both"/>
            </w:pPr>
          </w:p>
          <w:p w:rsidR="0058456B" w:rsidRPr="0058456B" w:rsidRDefault="0058456B" w:rsidP="0058456B">
            <w:pPr>
              <w:jc w:val="both"/>
              <w:rPr>
                <w:b/>
              </w:rPr>
            </w:pPr>
            <w:r>
              <w:t>Each Contractor appointed under this framework will indemnify the organisation from any claims resulting from the sale of any product, including its quality, electrical safety and any associated warranties and/or licences.</w:t>
            </w:r>
          </w:p>
        </w:tc>
        <w:tc>
          <w:tcPr>
            <w:tcW w:w="3118" w:type="dxa"/>
          </w:tcPr>
          <w:p w:rsidR="0058456B" w:rsidRDefault="0058456B" w:rsidP="0027438C">
            <w:pPr>
              <w:jc w:val="both"/>
              <w:rPr>
                <w:b/>
                <w:bCs/>
              </w:rPr>
            </w:pPr>
          </w:p>
        </w:tc>
      </w:tr>
      <w:tr w:rsidR="0058456B" w:rsidTr="0035418A">
        <w:tc>
          <w:tcPr>
            <w:tcW w:w="1048" w:type="dxa"/>
          </w:tcPr>
          <w:p w:rsidR="0058456B" w:rsidRDefault="0058456B" w:rsidP="0027438C">
            <w:pPr>
              <w:jc w:val="both"/>
              <w:rPr>
                <w:b/>
                <w:bCs/>
              </w:rPr>
            </w:pPr>
            <w:r>
              <w:rPr>
                <w:b/>
                <w:bCs/>
              </w:rPr>
              <w:t>MR7</w:t>
            </w:r>
          </w:p>
        </w:tc>
        <w:tc>
          <w:tcPr>
            <w:tcW w:w="4901" w:type="dxa"/>
          </w:tcPr>
          <w:p w:rsidR="0058456B" w:rsidRPr="00991C8E" w:rsidRDefault="0058456B" w:rsidP="0035418A">
            <w:pPr>
              <w:jc w:val="both"/>
              <w:rPr>
                <w:b/>
              </w:rPr>
            </w:pPr>
            <w:r w:rsidRPr="00991C8E">
              <w:rPr>
                <w:b/>
              </w:rPr>
              <w:t xml:space="preserve">Waste </w:t>
            </w:r>
          </w:p>
          <w:p w:rsidR="0058456B" w:rsidRPr="00991C8E" w:rsidRDefault="0058456B" w:rsidP="0035418A">
            <w:pPr>
              <w:jc w:val="both"/>
            </w:pPr>
          </w:p>
          <w:p w:rsidR="0058456B" w:rsidRPr="00991C8E" w:rsidRDefault="0058456B" w:rsidP="0058456B">
            <w:pPr>
              <w:jc w:val="both"/>
            </w:pPr>
            <w:r w:rsidRPr="00991C8E">
              <w:t xml:space="preserve">All equipment that is not resold must be dismantled and recycled/disposed in accordance </w:t>
            </w:r>
            <w:r w:rsidRPr="00991C8E">
              <w:lastRenderedPageBreak/>
              <w:t xml:space="preserve">with the relevant legislation including, but not limited to : </w:t>
            </w:r>
          </w:p>
          <w:p w:rsidR="0058456B" w:rsidRPr="00991C8E" w:rsidRDefault="0058456B" w:rsidP="0058456B">
            <w:pPr>
              <w:pStyle w:val="ListParagraph"/>
              <w:numPr>
                <w:ilvl w:val="0"/>
                <w:numId w:val="44"/>
              </w:numPr>
              <w:jc w:val="both"/>
            </w:pPr>
            <w:r w:rsidRPr="00991C8E">
              <w:t>the Waste Electrical and Electronic Equipment Directive;</w:t>
            </w:r>
          </w:p>
          <w:p w:rsidR="0058456B" w:rsidRPr="00991C8E" w:rsidRDefault="0058456B" w:rsidP="0058456B">
            <w:pPr>
              <w:pStyle w:val="ListParagraph"/>
              <w:numPr>
                <w:ilvl w:val="0"/>
                <w:numId w:val="44"/>
              </w:numPr>
              <w:jc w:val="both"/>
            </w:pPr>
            <w:r w:rsidRPr="00991C8E">
              <w:t>BS EN ISO 14001: 2004;</w:t>
            </w:r>
          </w:p>
          <w:p w:rsidR="0058456B" w:rsidRPr="00991C8E" w:rsidRDefault="0058456B" w:rsidP="0058456B">
            <w:pPr>
              <w:pStyle w:val="ListParagraph"/>
              <w:numPr>
                <w:ilvl w:val="0"/>
                <w:numId w:val="44"/>
              </w:numPr>
              <w:jc w:val="both"/>
            </w:pPr>
            <w:r w:rsidRPr="00991C8E">
              <w:t xml:space="preserve">the Environmental Protection Act 1990; and </w:t>
            </w:r>
          </w:p>
          <w:p w:rsidR="0058456B" w:rsidRPr="00991C8E" w:rsidRDefault="0058456B" w:rsidP="0058456B">
            <w:pPr>
              <w:pStyle w:val="ListParagraph"/>
              <w:numPr>
                <w:ilvl w:val="0"/>
                <w:numId w:val="44"/>
              </w:numPr>
              <w:jc w:val="both"/>
            </w:pPr>
            <w:proofErr w:type="gramStart"/>
            <w:r w:rsidRPr="00991C8E">
              <w:t>the</w:t>
            </w:r>
            <w:proofErr w:type="gramEnd"/>
            <w:r w:rsidRPr="00991C8E">
              <w:t xml:space="preserve"> Hazardous Waste Regulations. </w:t>
            </w:r>
          </w:p>
          <w:p w:rsidR="0058456B" w:rsidRPr="00991C8E" w:rsidRDefault="0058456B" w:rsidP="0058456B">
            <w:pPr>
              <w:jc w:val="both"/>
            </w:pPr>
          </w:p>
          <w:p w:rsidR="0058456B" w:rsidRPr="00991C8E" w:rsidRDefault="0058456B" w:rsidP="0058456B">
            <w:pPr>
              <w:jc w:val="both"/>
            </w:pPr>
            <w:proofErr w:type="gramStart"/>
            <w:r w:rsidRPr="00991C8E">
              <w:t>and</w:t>
            </w:r>
            <w:proofErr w:type="gramEnd"/>
            <w:r w:rsidRPr="00991C8E">
              <w:t xml:space="preserve"> appropriate ‘authorisation’- i.e. waste management exemption/ licence/ permit - in place from the Environment Agency to accept that waste. </w:t>
            </w:r>
          </w:p>
          <w:p w:rsidR="0058456B" w:rsidRPr="00991C8E" w:rsidRDefault="0058456B" w:rsidP="0058456B">
            <w:pPr>
              <w:jc w:val="both"/>
            </w:pPr>
          </w:p>
          <w:p w:rsidR="0058456B" w:rsidRPr="00991C8E" w:rsidRDefault="0058456B" w:rsidP="0058456B">
            <w:pPr>
              <w:jc w:val="both"/>
            </w:pPr>
            <w:r w:rsidRPr="00991C8E">
              <w:t xml:space="preserve">In the case of equipment (WEEE) classified as hazardous waste, the authorisation must therefore specifically cover acceptance of this hazardous waste type. </w:t>
            </w:r>
          </w:p>
          <w:p w:rsidR="0058456B" w:rsidRPr="00991C8E" w:rsidRDefault="0058456B" w:rsidP="0058456B">
            <w:pPr>
              <w:jc w:val="both"/>
            </w:pPr>
          </w:p>
          <w:p w:rsidR="0058456B" w:rsidRPr="00991C8E" w:rsidRDefault="0058456B" w:rsidP="0058456B">
            <w:pPr>
              <w:jc w:val="both"/>
            </w:pPr>
            <w:r w:rsidRPr="00991C8E">
              <w:t xml:space="preserve">As long as equipment remains waste, whether it be classified as hazardous or not, it must only be moved/disposed to authorised facilities. </w:t>
            </w:r>
          </w:p>
          <w:p w:rsidR="0058456B" w:rsidRPr="00991C8E" w:rsidRDefault="0058456B" w:rsidP="0058456B">
            <w:pPr>
              <w:jc w:val="both"/>
            </w:pPr>
          </w:p>
          <w:p w:rsidR="0058456B" w:rsidRPr="00991C8E" w:rsidRDefault="0058456B" w:rsidP="00A16E3B">
            <w:pPr>
              <w:jc w:val="both"/>
            </w:pPr>
            <w:r w:rsidRPr="00991C8E">
              <w:t xml:space="preserve">All collections (consignments) of hazardous waste must be accompanied by a Consignment Note (tracking document) copies of which must be completed/notified and returned to the </w:t>
            </w:r>
            <w:r w:rsidR="00E86F33" w:rsidRPr="00991C8E">
              <w:t>Authority</w:t>
            </w:r>
            <w:r w:rsidRPr="00991C8E">
              <w:t xml:space="preserve"> in accordance with the Hazardous Waste Regulations and reported accordingly. </w:t>
            </w:r>
          </w:p>
          <w:p w:rsidR="00A16E3B" w:rsidRPr="00991C8E" w:rsidRDefault="00A16E3B" w:rsidP="00A16E3B">
            <w:pPr>
              <w:jc w:val="both"/>
            </w:pPr>
          </w:p>
          <w:p w:rsidR="00A16E3B" w:rsidRPr="00991C8E" w:rsidRDefault="00A16E3B" w:rsidP="00A16E3B">
            <w:pPr>
              <w:jc w:val="both"/>
              <w:rPr>
                <w:b/>
              </w:rPr>
            </w:pPr>
            <w:r w:rsidRPr="00991C8E">
              <w:t>Information must be recorded on a Waste Transfer Note, a copy of which you should retain for up to 2 years following the date of transfer.</w:t>
            </w:r>
          </w:p>
        </w:tc>
        <w:tc>
          <w:tcPr>
            <w:tcW w:w="3118" w:type="dxa"/>
          </w:tcPr>
          <w:p w:rsidR="0058456B" w:rsidRDefault="0058456B" w:rsidP="0027438C">
            <w:pPr>
              <w:jc w:val="both"/>
              <w:rPr>
                <w:b/>
                <w:bCs/>
              </w:rPr>
            </w:pPr>
          </w:p>
        </w:tc>
      </w:tr>
      <w:tr w:rsidR="00A16E3B" w:rsidTr="0035418A">
        <w:tc>
          <w:tcPr>
            <w:tcW w:w="1048" w:type="dxa"/>
          </w:tcPr>
          <w:p w:rsidR="00A16E3B" w:rsidRDefault="00A16E3B" w:rsidP="0027438C">
            <w:pPr>
              <w:jc w:val="both"/>
              <w:rPr>
                <w:b/>
                <w:bCs/>
              </w:rPr>
            </w:pPr>
            <w:r>
              <w:rPr>
                <w:b/>
                <w:bCs/>
              </w:rPr>
              <w:t>MR8</w:t>
            </w:r>
          </w:p>
        </w:tc>
        <w:tc>
          <w:tcPr>
            <w:tcW w:w="4901" w:type="dxa"/>
          </w:tcPr>
          <w:p w:rsidR="00A16E3B" w:rsidRPr="00A16E3B" w:rsidRDefault="00A16E3B" w:rsidP="0035418A">
            <w:pPr>
              <w:jc w:val="both"/>
              <w:rPr>
                <w:b/>
              </w:rPr>
            </w:pPr>
            <w:r w:rsidRPr="00A16E3B">
              <w:rPr>
                <w:b/>
              </w:rPr>
              <w:t xml:space="preserve">Shredding </w:t>
            </w:r>
          </w:p>
          <w:p w:rsidR="00A16E3B" w:rsidRDefault="00A16E3B" w:rsidP="0035418A">
            <w:pPr>
              <w:jc w:val="both"/>
            </w:pPr>
          </w:p>
          <w:p w:rsidR="00A16E3B" w:rsidRDefault="00A16E3B" w:rsidP="0035418A">
            <w:pPr>
              <w:jc w:val="both"/>
            </w:pPr>
            <w:r>
              <w:t xml:space="preserve">Each Contractor appointed under this Framework must provide both onsite and offsite disk or device shredding service when requested. This will be detailed on the Request for Quotation form. </w:t>
            </w:r>
          </w:p>
          <w:p w:rsidR="00A16E3B" w:rsidRDefault="00A16E3B" w:rsidP="0035418A">
            <w:pPr>
              <w:jc w:val="both"/>
            </w:pPr>
          </w:p>
          <w:p w:rsidR="00A16E3B" w:rsidRDefault="00A16E3B" w:rsidP="0035418A">
            <w:pPr>
              <w:jc w:val="both"/>
            </w:pPr>
            <w:r>
              <w:t xml:space="preserve">All techniques for the destruction of data must adhere to CESG </w:t>
            </w:r>
            <w:proofErr w:type="spellStart"/>
            <w:r>
              <w:t>Infosec</w:t>
            </w:r>
            <w:proofErr w:type="spellEnd"/>
            <w:r>
              <w:t xml:space="preserve"> Standard 5 (Appendix 4) </w:t>
            </w:r>
          </w:p>
          <w:p w:rsidR="00A16E3B" w:rsidRDefault="00A16E3B" w:rsidP="0035418A">
            <w:pPr>
              <w:jc w:val="both"/>
            </w:pPr>
          </w:p>
          <w:p w:rsidR="00A16E3B" w:rsidRDefault="00A16E3B" w:rsidP="0035418A">
            <w:pPr>
              <w:jc w:val="both"/>
            </w:pPr>
            <w:r>
              <w:t xml:space="preserve">Devices to be shredded may include hard disk drives, 19 inch routers and smart phones, tablets etc. </w:t>
            </w:r>
          </w:p>
          <w:p w:rsidR="00A16E3B" w:rsidRDefault="00A16E3B" w:rsidP="0035418A">
            <w:pPr>
              <w:jc w:val="both"/>
            </w:pPr>
          </w:p>
          <w:p w:rsidR="00A16E3B" w:rsidRPr="00A16E3B" w:rsidRDefault="00A16E3B" w:rsidP="0035418A">
            <w:pPr>
              <w:jc w:val="both"/>
            </w:pPr>
            <w:r>
              <w:t>Please note on some occasions, by prior arrangement, a witness may wish to observe and/or conduct tests on a sample to ensure successful destruction.</w:t>
            </w:r>
          </w:p>
        </w:tc>
        <w:tc>
          <w:tcPr>
            <w:tcW w:w="3118" w:type="dxa"/>
          </w:tcPr>
          <w:p w:rsidR="00A16E3B" w:rsidRDefault="00A16E3B" w:rsidP="0027438C">
            <w:pPr>
              <w:jc w:val="both"/>
              <w:rPr>
                <w:b/>
                <w:bCs/>
              </w:rPr>
            </w:pPr>
          </w:p>
        </w:tc>
      </w:tr>
      <w:tr w:rsidR="00A16E3B" w:rsidTr="0035418A">
        <w:tc>
          <w:tcPr>
            <w:tcW w:w="1048" w:type="dxa"/>
          </w:tcPr>
          <w:p w:rsidR="00A16E3B" w:rsidRDefault="00A16E3B" w:rsidP="0027438C">
            <w:pPr>
              <w:jc w:val="both"/>
              <w:rPr>
                <w:b/>
                <w:bCs/>
              </w:rPr>
            </w:pPr>
            <w:r>
              <w:rPr>
                <w:b/>
                <w:bCs/>
              </w:rPr>
              <w:t>MR9</w:t>
            </w:r>
          </w:p>
        </w:tc>
        <w:tc>
          <w:tcPr>
            <w:tcW w:w="4901" w:type="dxa"/>
          </w:tcPr>
          <w:p w:rsidR="00A16E3B" w:rsidRPr="00A16E3B" w:rsidRDefault="00A16E3B" w:rsidP="0035418A">
            <w:pPr>
              <w:jc w:val="both"/>
              <w:rPr>
                <w:b/>
              </w:rPr>
            </w:pPr>
            <w:r w:rsidRPr="00A16E3B">
              <w:rPr>
                <w:b/>
              </w:rPr>
              <w:t xml:space="preserve">Disposal </w:t>
            </w:r>
          </w:p>
          <w:p w:rsidR="00A16E3B" w:rsidRDefault="00A16E3B" w:rsidP="0035418A">
            <w:pPr>
              <w:jc w:val="both"/>
            </w:pPr>
          </w:p>
          <w:p w:rsidR="00A16E3B" w:rsidRDefault="00A16E3B" w:rsidP="0035418A">
            <w:pPr>
              <w:jc w:val="both"/>
            </w:pPr>
            <w:r>
              <w:t>Items to be disposed will be listed in the Request for Q</w:t>
            </w:r>
            <w:r w:rsidR="00AC71DF">
              <w:t>uotation form.</w:t>
            </w:r>
          </w:p>
          <w:p w:rsidR="00A16E3B" w:rsidRDefault="00A16E3B" w:rsidP="0035418A">
            <w:pPr>
              <w:jc w:val="both"/>
            </w:pPr>
          </w:p>
          <w:p w:rsidR="00A16E3B" w:rsidRDefault="00A16E3B" w:rsidP="00A16E3B">
            <w:pPr>
              <w:jc w:val="both"/>
            </w:pPr>
            <w:r>
              <w:t xml:space="preserve">Each Contractor appointed under this framework will be permitted to view the items if required, by arrangement with the </w:t>
            </w:r>
            <w:r w:rsidR="00E86F33">
              <w:t>Authority</w:t>
            </w:r>
            <w:r>
              <w:t xml:space="preserve">, during the invitation to quote period, in order to allow Contractors to assess the condition of items requiring disposal. </w:t>
            </w:r>
          </w:p>
          <w:p w:rsidR="00A16E3B" w:rsidRDefault="00A16E3B" w:rsidP="00A16E3B">
            <w:pPr>
              <w:jc w:val="both"/>
            </w:pPr>
          </w:p>
          <w:p w:rsidR="00A16E3B" w:rsidRPr="00A16E3B" w:rsidRDefault="00A16E3B" w:rsidP="00A16E3B">
            <w:pPr>
              <w:jc w:val="both"/>
              <w:rPr>
                <w:b/>
              </w:rPr>
            </w:pPr>
            <w:r>
              <w:t xml:space="preserve">The Request for Quotation form must be completed by the Contractor and returned electronically to the </w:t>
            </w:r>
            <w:r w:rsidR="00E86F33">
              <w:t>Authority</w:t>
            </w:r>
            <w:r>
              <w:t xml:space="preserve"> within a maximum of 10 working days from the date of request. Failure to return the quotation within the specified time will result in elimination from the quotation exercise.</w:t>
            </w:r>
          </w:p>
        </w:tc>
        <w:tc>
          <w:tcPr>
            <w:tcW w:w="3118" w:type="dxa"/>
          </w:tcPr>
          <w:p w:rsidR="00A16E3B" w:rsidRDefault="00A16E3B" w:rsidP="0027438C">
            <w:pPr>
              <w:jc w:val="both"/>
              <w:rPr>
                <w:b/>
                <w:bCs/>
              </w:rPr>
            </w:pPr>
          </w:p>
        </w:tc>
      </w:tr>
      <w:tr w:rsidR="00A16E3B" w:rsidTr="0035418A">
        <w:tc>
          <w:tcPr>
            <w:tcW w:w="1048" w:type="dxa"/>
          </w:tcPr>
          <w:p w:rsidR="00A16E3B" w:rsidRDefault="00A16E3B" w:rsidP="0027438C">
            <w:pPr>
              <w:jc w:val="both"/>
              <w:rPr>
                <w:b/>
                <w:bCs/>
              </w:rPr>
            </w:pPr>
            <w:r>
              <w:rPr>
                <w:b/>
                <w:bCs/>
              </w:rPr>
              <w:t>MR10</w:t>
            </w:r>
          </w:p>
        </w:tc>
        <w:tc>
          <w:tcPr>
            <w:tcW w:w="4901" w:type="dxa"/>
          </w:tcPr>
          <w:p w:rsidR="00A16E3B" w:rsidRPr="00A16E3B" w:rsidRDefault="00A16E3B" w:rsidP="0035418A">
            <w:pPr>
              <w:jc w:val="both"/>
              <w:rPr>
                <w:b/>
              </w:rPr>
            </w:pPr>
            <w:r w:rsidRPr="00A16E3B">
              <w:rPr>
                <w:b/>
              </w:rPr>
              <w:t xml:space="preserve">Collection </w:t>
            </w:r>
          </w:p>
          <w:p w:rsidR="00A16E3B" w:rsidRDefault="00A16E3B" w:rsidP="0035418A">
            <w:pPr>
              <w:jc w:val="both"/>
            </w:pPr>
          </w:p>
          <w:p w:rsidR="00A16E3B" w:rsidRDefault="00A16E3B" w:rsidP="00A16E3B">
            <w:pPr>
              <w:jc w:val="both"/>
            </w:pPr>
            <w:r>
              <w:t xml:space="preserve">When collecting equipment, and prior to removal, the Contractor appointed under a contract must: </w:t>
            </w:r>
          </w:p>
          <w:p w:rsidR="00AC71DF" w:rsidRDefault="00A16E3B" w:rsidP="00AC71DF">
            <w:pPr>
              <w:pStyle w:val="ListParagraph"/>
              <w:numPr>
                <w:ilvl w:val="0"/>
                <w:numId w:val="49"/>
              </w:numPr>
              <w:ind w:left="399" w:hanging="284"/>
              <w:jc w:val="both"/>
            </w:pPr>
            <w:r>
              <w:t>load equipment fo</w:t>
            </w:r>
            <w:r w:rsidR="00AC71DF">
              <w:t>r remov</w:t>
            </w:r>
            <w:r>
              <w:t xml:space="preserve">al </w:t>
            </w:r>
          </w:p>
          <w:p w:rsidR="00AC71DF" w:rsidRDefault="00A16E3B" w:rsidP="00AC71DF">
            <w:pPr>
              <w:pStyle w:val="ListParagraph"/>
              <w:numPr>
                <w:ilvl w:val="0"/>
                <w:numId w:val="49"/>
              </w:numPr>
              <w:ind w:left="399" w:hanging="284"/>
              <w:jc w:val="both"/>
            </w:pPr>
            <w:r>
              <w:t xml:space="preserve">confirm the items listed for collection match those on the disposal spreadsheet used to manage each collection </w:t>
            </w:r>
          </w:p>
          <w:p w:rsidR="00AC71DF" w:rsidRDefault="00A16E3B" w:rsidP="00AC71DF">
            <w:pPr>
              <w:pStyle w:val="ListParagraph"/>
              <w:numPr>
                <w:ilvl w:val="0"/>
                <w:numId w:val="49"/>
              </w:numPr>
              <w:ind w:left="399" w:hanging="284"/>
              <w:jc w:val="both"/>
            </w:pPr>
            <w:r>
              <w:t xml:space="preserve">complete onsite data wiping/device shredding witnessed by </w:t>
            </w:r>
            <w:r w:rsidR="00E86F33">
              <w:t>Authority</w:t>
            </w:r>
            <w:r>
              <w:t xml:space="preserve"> contact if requested </w:t>
            </w:r>
          </w:p>
          <w:p w:rsidR="00AC71DF" w:rsidRDefault="00A16E3B" w:rsidP="00AC71DF">
            <w:pPr>
              <w:pStyle w:val="ListParagraph"/>
              <w:numPr>
                <w:ilvl w:val="0"/>
                <w:numId w:val="49"/>
              </w:numPr>
              <w:ind w:left="399" w:hanging="284"/>
              <w:jc w:val="both"/>
            </w:pPr>
            <w:r>
              <w:t xml:space="preserve">provide a written receipt of items collected, wiped or shredded </w:t>
            </w:r>
          </w:p>
          <w:p w:rsidR="00A16E3B" w:rsidRPr="00AC71DF" w:rsidRDefault="00A16E3B" w:rsidP="00AC71DF">
            <w:pPr>
              <w:pStyle w:val="ListParagraph"/>
              <w:numPr>
                <w:ilvl w:val="0"/>
                <w:numId w:val="49"/>
              </w:numPr>
              <w:ind w:left="399" w:hanging="284"/>
              <w:jc w:val="both"/>
              <w:rPr>
                <w:b/>
              </w:rPr>
            </w:pPr>
            <w:r>
              <w:t>provide cages or pallets for pre-loading if appropriate – this request will be highlighted at the Request for Quotation Stage</w:t>
            </w:r>
          </w:p>
        </w:tc>
        <w:tc>
          <w:tcPr>
            <w:tcW w:w="3118" w:type="dxa"/>
          </w:tcPr>
          <w:p w:rsidR="00A16E3B" w:rsidRDefault="00A16E3B" w:rsidP="0027438C">
            <w:pPr>
              <w:jc w:val="both"/>
              <w:rPr>
                <w:b/>
                <w:bCs/>
              </w:rPr>
            </w:pPr>
          </w:p>
        </w:tc>
      </w:tr>
      <w:tr w:rsidR="00F127F7" w:rsidTr="0035418A">
        <w:tc>
          <w:tcPr>
            <w:tcW w:w="1048" w:type="dxa"/>
          </w:tcPr>
          <w:p w:rsidR="00F127F7" w:rsidRDefault="00F127F7" w:rsidP="0027438C">
            <w:pPr>
              <w:jc w:val="both"/>
              <w:rPr>
                <w:b/>
                <w:bCs/>
              </w:rPr>
            </w:pPr>
            <w:r>
              <w:rPr>
                <w:b/>
                <w:bCs/>
              </w:rPr>
              <w:t>MR11</w:t>
            </w:r>
          </w:p>
        </w:tc>
        <w:tc>
          <w:tcPr>
            <w:tcW w:w="4901" w:type="dxa"/>
          </w:tcPr>
          <w:p w:rsidR="00F127F7" w:rsidRPr="00F127F7" w:rsidRDefault="00F127F7" w:rsidP="0035418A">
            <w:pPr>
              <w:jc w:val="both"/>
              <w:rPr>
                <w:b/>
              </w:rPr>
            </w:pPr>
            <w:r w:rsidRPr="00F127F7">
              <w:rPr>
                <w:b/>
              </w:rPr>
              <w:t xml:space="preserve">Securing Equipment </w:t>
            </w:r>
          </w:p>
          <w:p w:rsidR="00F127F7" w:rsidRDefault="00F127F7" w:rsidP="0035418A">
            <w:pPr>
              <w:jc w:val="both"/>
            </w:pPr>
          </w:p>
          <w:p w:rsidR="00F127F7" w:rsidRDefault="00F127F7" w:rsidP="0035418A">
            <w:pPr>
              <w:jc w:val="both"/>
            </w:pPr>
            <w:r>
              <w:t xml:space="preserve">Each Contractor appointed under this framework must ensure that equipment requiring onsite or offsite data wiping/device shredding is not left unsecured at any time during collection and transportation prior to Data Eradication. </w:t>
            </w:r>
          </w:p>
          <w:p w:rsidR="00F127F7" w:rsidRDefault="00F127F7" w:rsidP="0035418A">
            <w:pPr>
              <w:jc w:val="both"/>
            </w:pPr>
          </w:p>
          <w:p w:rsidR="00F127F7" w:rsidRPr="00A16E3B" w:rsidRDefault="00F127F7" w:rsidP="00F127F7">
            <w:pPr>
              <w:jc w:val="both"/>
              <w:rPr>
                <w:b/>
              </w:rPr>
            </w:pPr>
            <w:r>
              <w:t xml:space="preserve">Data bearing devices must not be transported outside of </w:t>
            </w:r>
            <w:r w:rsidRPr="00F127F7">
              <w:rPr>
                <w:highlight w:val="yellow"/>
              </w:rPr>
              <w:t>the UK</w:t>
            </w:r>
            <w:r>
              <w:t xml:space="preserve"> prior to the completion of Data Eradication.</w:t>
            </w:r>
          </w:p>
        </w:tc>
        <w:tc>
          <w:tcPr>
            <w:tcW w:w="3118" w:type="dxa"/>
          </w:tcPr>
          <w:p w:rsidR="00F127F7" w:rsidRDefault="00F127F7" w:rsidP="0027438C">
            <w:pPr>
              <w:jc w:val="both"/>
              <w:rPr>
                <w:b/>
                <w:bCs/>
              </w:rPr>
            </w:pPr>
          </w:p>
        </w:tc>
      </w:tr>
      <w:tr w:rsidR="00F127F7" w:rsidTr="0035418A">
        <w:tc>
          <w:tcPr>
            <w:tcW w:w="1048" w:type="dxa"/>
          </w:tcPr>
          <w:p w:rsidR="00F127F7" w:rsidRDefault="00F127F7" w:rsidP="0027438C">
            <w:pPr>
              <w:jc w:val="both"/>
              <w:rPr>
                <w:b/>
                <w:bCs/>
              </w:rPr>
            </w:pPr>
            <w:r>
              <w:rPr>
                <w:b/>
                <w:bCs/>
              </w:rPr>
              <w:t>MR12</w:t>
            </w:r>
          </w:p>
        </w:tc>
        <w:tc>
          <w:tcPr>
            <w:tcW w:w="4901" w:type="dxa"/>
          </w:tcPr>
          <w:p w:rsidR="00F127F7" w:rsidRPr="00F127F7" w:rsidRDefault="00F127F7" w:rsidP="0035418A">
            <w:pPr>
              <w:jc w:val="both"/>
              <w:rPr>
                <w:b/>
              </w:rPr>
            </w:pPr>
            <w:r w:rsidRPr="00F127F7">
              <w:rPr>
                <w:b/>
              </w:rPr>
              <w:t xml:space="preserve">Storage of Equipment </w:t>
            </w:r>
          </w:p>
          <w:p w:rsidR="00F127F7" w:rsidRDefault="00F127F7" w:rsidP="0035418A">
            <w:pPr>
              <w:jc w:val="both"/>
            </w:pPr>
          </w:p>
          <w:p w:rsidR="00F127F7" w:rsidRPr="00F127F7" w:rsidRDefault="00F127F7" w:rsidP="0035418A">
            <w:pPr>
              <w:jc w:val="both"/>
              <w:rPr>
                <w:b/>
              </w:rPr>
            </w:pPr>
            <w:r>
              <w:t xml:space="preserve">Each Contractor appointed under this framework must segregate and store the </w:t>
            </w:r>
            <w:r w:rsidR="00E86F33">
              <w:t>Authority</w:t>
            </w:r>
            <w:r>
              <w:t>’s equipment which contains data from the equipment of their other customers.</w:t>
            </w:r>
          </w:p>
        </w:tc>
        <w:tc>
          <w:tcPr>
            <w:tcW w:w="3118" w:type="dxa"/>
          </w:tcPr>
          <w:p w:rsidR="00F127F7" w:rsidRDefault="00F127F7" w:rsidP="0027438C">
            <w:pPr>
              <w:jc w:val="both"/>
              <w:rPr>
                <w:b/>
                <w:bCs/>
              </w:rPr>
            </w:pPr>
          </w:p>
        </w:tc>
      </w:tr>
      <w:tr w:rsidR="00F127F7" w:rsidTr="0035418A">
        <w:tc>
          <w:tcPr>
            <w:tcW w:w="1048" w:type="dxa"/>
          </w:tcPr>
          <w:p w:rsidR="00F127F7" w:rsidRDefault="00F127F7" w:rsidP="0027438C">
            <w:pPr>
              <w:jc w:val="both"/>
              <w:rPr>
                <w:b/>
                <w:bCs/>
              </w:rPr>
            </w:pPr>
            <w:r>
              <w:rPr>
                <w:b/>
                <w:bCs/>
              </w:rPr>
              <w:t>MR13</w:t>
            </w:r>
          </w:p>
        </w:tc>
        <w:tc>
          <w:tcPr>
            <w:tcW w:w="4901" w:type="dxa"/>
          </w:tcPr>
          <w:p w:rsidR="00F127F7" w:rsidRPr="00F127F7" w:rsidRDefault="00F127F7" w:rsidP="0035418A">
            <w:pPr>
              <w:jc w:val="both"/>
              <w:rPr>
                <w:b/>
              </w:rPr>
            </w:pPr>
            <w:r w:rsidRPr="00F127F7">
              <w:rPr>
                <w:b/>
              </w:rPr>
              <w:t xml:space="preserve">Responsibility for Equipment </w:t>
            </w:r>
          </w:p>
          <w:p w:rsidR="00F127F7" w:rsidRDefault="00F127F7" w:rsidP="0035418A">
            <w:pPr>
              <w:jc w:val="both"/>
            </w:pPr>
          </w:p>
          <w:p w:rsidR="00F127F7" w:rsidRDefault="00F127F7" w:rsidP="0035418A">
            <w:pPr>
              <w:jc w:val="both"/>
            </w:pPr>
            <w:r>
              <w:lastRenderedPageBreak/>
              <w:t xml:space="preserve">In all cases once the equipment leaves the </w:t>
            </w:r>
            <w:r w:rsidR="00E86F33">
              <w:t>Authority</w:t>
            </w:r>
            <w:r>
              <w:t>’s premises responsibility transfers to the Contractor.</w:t>
            </w:r>
          </w:p>
          <w:p w:rsidR="00F127F7" w:rsidRDefault="00F127F7" w:rsidP="0035418A">
            <w:pPr>
              <w:jc w:val="both"/>
            </w:pPr>
          </w:p>
          <w:p w:rsidR="00F127F7" w:rsidRDefault="00F127F7" w:rsidP="00F127F7">
            <w:pPr>
              <w:jc w:val="both"/>
            </w:pPr>
            <w:r>
              <w:t xml:space="preserve">This will include responsibility for: </w:t>
            </w:r>
          </w:p>
          <w:p w:rsidR="00F127F7" w:rsidRDefault="00F127F7" w:rsidP="00F127F7">
            <w:pPr>
              <w:pStyle w:val="ListParagraph"/>
              <w:numPr>
                <w:ilvl w:val="0"/>
                <w:numId w:val="45"/>
              </w:numPr>
              <w:jc w:val="both"/>
            </w:pPr>
            <w:r>
              <w:t xml:space="preserve">lost equipment </w:t>
            </w:r>
          </w:p>
          <w:p w:rsidR="00F127F7" w:rsidRDefault="00F127F7" w:rsidP="00F127F7">
            <w:pPr>
              <w:pStyle w:val="ListParagraph"/>
              <w:numPr>
                <w:ilvl w:val="0"/>
                <w:numId w:val="45"/>
              </w:numPr>
              <w:jc w:val="both"/>
            </w:pPr>
            <w:r>
              <w:t xml:space="preserve">equipment not handled / disposed of in line with the requirements </w:t>
            </w:r>
          </w:p>
          <w:p w:rsidR="00F127F7" w:rsidRPr="00F127F7" w:rsidRDefault="00F127F7" w:rsidP="00F127F7">
            <w:pPr>
              <w:pStyle w:val="ListParagraph"/>
              <w:numPr>
                <w:ilvl w:val="0"/>
                <w:numId w:val="45"/>
              </w:numPr>
              <w:jc w:val="both"/>
              <w:rPr>
                <w:b/>
              </w:rPr>
            </w:pPr>
            <w:r>
              <w:t>ensuring the fitness for purpose of re-sold equipment</w:t>
            </w:r>
          </w:p>
        </w:tc>
        <w:tc>
          <w:tcPr>
            <w:tcW w:w="3118" w:type="dxa"/>
          </w:tcPr>
          <w:p w:rsidR="00F127F7" w:rsidRDefault="00F127F7" w:rsidP="0027438C">
            <w:pPr>
              <w:jc w:val="both"/>
              <w:rPr>
                <w:b/>
                <w:bCs/>
              </w:rPr>
            </w:pPr>
          </w:p>
        </w:tc>
      </w:tr>
      <w:tr w:rsidR="00F127F7" w:rsidTr="0035418A">
        <w:tc>
          <w:tcPr>
            <w:tcW w:w="1048" w:type="dxa"/>
          </w:tcPr>
          <w:p w:rsidR="00F127F7" w:rsidRDefault="00F127F7" w:rsidP="0027438C">
            <w:pPr>
              <w:jc w:val="both"/>
              <w:rPr>
                <w:b/>
                <w:bCs/>
              </w:rPr>
            </w:pPr>
          </w:p>
        </w:tc>
        <w:tc>
          <w:tcPr>
            <w:tcW w:w="4901" w:type="dxa"/>
          </w:tcPr>
          <w:p w:rsidR="00F127F7" w:rsidRPr="00F127F7" w:rsidRDefault="00F127F7" w:rsidP="0035418A">
            <w:pPr>
              <w:jc w:val="both"/>
              <w:rPr>
                <w:b/>
              </w:rPr>
            </w:pPr>
            <w:r w:rsidRPr="00F127F7">
              <w:rPr>
                <w:b/>
              </w:rPr>
              <w:t>Service Levels</w:t>
            </w:r>
          </w:p>
          <w:p w:rsidR="00F127F7" w:rsidRDefault="00F127F7" w:rsidP="0035418A">
            <w:pPr>
              <w:jc w:val="both"/>
            </w:pPr>
          </w:p>
          <w:p w:rsidR="00F127F7" w:rsidRDefault="00F127F7" w:rsidP="0035418A">
            <w:pPr>
              <w:jc w:val="both"/>
            </w:pPr>
            <w:r>
              <w:t>Each Contractor appointed under this framework must adhere to the following Service Levels :</w:t>
            </w:r>
          </w:p>
          <w:p w:rsidR="00F127F7" w:rsidRDefault="00F127F7" w:rsidP="0035418A">
            <w:pPr>
              <w:jc w:val="both"/>
            </w:pPr>
          </w:p>
          <w:tbl>
            <w:tblPr>
              <w:tblStyle w:val="TableGrid"/>
              <w:tblW w:w="0" w:type="auto"/>
              <w:tblLook w:val="04A0" w:firstRow="1" w:lastRow="0" w:firstColumn="1" w:lastColumn="0" w:noHBand="0" w:noVBand="1"/>
            </w:tblPr>
            <w:tblGrid>
              <w:gridCol w:w="2337"/>
              <w:gridCol w:w="2338"/>
            </w:tblGrid>
            <w:tr w:rsidR="00E86F33" w:rsidTr="00E86F33">
              <w:tc>
                <w:tcPr>
                  <w:tcW w:w="2337" w:type="dxa"/>
                </w:tcPr>
                <w:p w:rsidR="00E86F33" w:rsidRDefault="00E86F33" w:rsidP="0035418A">
                  <w:pPr>
                    <w:jc w:val="both"/>
                    <w:rPr>
                      <w:b/>
                    </w:rPr>
                  </w:pPr>
                  <w:r>
                    <w:rPr>
                      <w:b/>
                    </w:rPr>
                    <w:t>Completion of Request for Quotation Form</w:t>
                  </w:r>
                </w:p>
              </w:tc>
              <w:tc>
                <w:tcPr>
                  <w:tcW w:w="2338" w:type="dxa"/>
                </w:tcPr>
                <w:p w:rsidR="00E86F33" w:rsidRPr="00E86F33" w:rsidRDefault="00E86F33" w:rsidP="0035418A">
                  <w:pPr>
                    <w:jc w:val="both"/>
                  </w:pPr>
                  <w:r w:rsidRPr="00E86F33">
                    <w:t>Within 10 working days from the date of request</w:t>
                  </w:r>
                </w:p>
              </w:tc>
            </w:tr>
            <w:tr w:rsidR="00E86F33" w:rsidTr="00E86F33">
              <w:tc>
                <w:tcPr>
                  <w:tcW w:w="2337" w:type="dxa"/>
                </w:tcPr>
                <w:p w:rsidR="00E86F33" w:rsidRDefault="00E86F33" w:rsidP="0035418A">
                  <w:pPr>
                    <w:jc w:val="both"/>
                    <w:rPr>
                      <w:b/>
                    </w:rPr>
                  </w:pPr>
                  <w:r>
                    <w:rPr>
                      <w:b/>
                    </w:rPr>
                    <w:t>Agree Collection Date &amp; Time</w:t>
                  </w:r>
                </w:p>
              </w:tc>
              <w:tc>
                <w:tcPr>
                  <w:tcW w:w="2338" w:type="dxa"/>
                </w:tcPr>
                <w:p w:rsidR="00E86F33" w:rsidRPr="00E86F33" w:rsidRDefault="00E86F33" w:rsidP="0035418A">
                  <w:pPr>
                    <w:jc w:val="both"/>
                  </w:pPr>
                  <w:r w:rsidRPr="00E86F33">
                    <w:t>Within 5 working days of award/order placed</w:t>
                  </w:r>
                </w:p>
              </w:tc>
            </w:tr>
            <w:tr w:rsidR="00E86F33" w:rsidTr="00E86F33">
              <w:tc>
                <w:tcPr>
                  <w:tcW w:w="2337" w:type="dxa"/>
                </w:tcPr>
                <w:p w:rsidR="00E86F33" w:rsidRDefault="00E86F33" w:rsidP="0035418A">
                  <w:pPr>
                    <w:jc w:val="both"/>
                    <w:rPr>
                      <w:b/>
                    </w:rPr>
                  </w:pPr>
                  <w:r>
                    <w:rPr>
                      <w:b/>
                    </w:rPr>
                    <w:t>Collection</w:t>
                  </w:r>
                </w:p>
              </w:tc>
              <w:tc>
                <w:tcPr>
                  <w:tcW w:w="2338" w:type="dxa"/>
                </w:tcPr>
                <w:p w:rsidR="00E86F33" w:rsidRPr="00E86F33" w:rsidRDefault="00E86F33" w:rsidP="0035418A">
                  <w:pPr>
                    <w:jc w:val="both"/>
                  </w:pPr>
                  <w:r w:rsidRPr="00E86F33">
                    <w:t>Made within 10 days of award unless otherwise agreed</w:t>
                  </w:r>
                </w:p>
              </w:tc>
            </w:tr>
            <w:tr w:rsidR="00E86F33" w:rsidTr="00E86F33">
              <w:tc>
                <w:tcPr>
                  <w:tcW w:w="2337" w:type="dxa"/>
                </w:tcPr>
                <w:p w:rsidR="00E86F33" w:rsidRDefault="00E86F33" w:rsidP="0035418A">
                  <w:pPr>
                    <w:jc w:val="both"/>
                    <w:rPr>
                      <w:b/>
                    </w:rPr>
                  </w:pPr>
                  <w:r>
                    <w:rPr>
                      <w:b/>
                    </w:rPr>
                    <w:t>Confirmation of Destruction/Wiping</w:t>
                  </w:r>
                </w:p>
              </w:tc>
              <w:tc>
                <w:tcPr>
                  <w:tcW w:w="2338" w:type="dxa"/>
                </w:tcPr>
                <w:p w:rsidR="00E86F33" w:rsidRPr="00E86F33" w:rsidRDefault="00E86F33" w:rsidP="0035418A">
                  <w:pPr>
                    <w:jc w:val="both"/>
                  </w:pPr>
                  <w:r w:rsidRPr="00E86F33">
                    <w:t xml:space="preserve">The final column on the Request for Quotation form completed and the form returned to the </w:t>
                  </w:r>
                  <w:r>
                    <w:t>Authority</w:t>
                  </w:r>
                  <w:r w:rsidRPr="00E86F33">
                    <w:t xml:space="preserve"> within 15 working days from collection of items</w:t>
                  </w:r>
                </w:p>
              </w:tc>
            </w:tr>
            <w:tr w:rsidR="00E86F33" w:rsidTr="00E86F33">
              <w:tc>
                <w:tcPr>
                  <w:tcW w:w="2337" w:type="dxa"/>
                </w:tcPr>
                <w:p w:rsidR="00E86F33" w:rsidRDefault="00E86F33" w:rsidP="0035418A">
                  <w:pPr>
                    <w:jc w:val="both"/>
                    <w:rPr>
                      <w:b/>
                    </w:rPr>
                  </w:pPr>
                  <w:r>
                    <w:rPr>
                      <w:b/>
                    </w:rPr>
                    <w:t>Invoice Issued</w:t>
                  </w:r>
                </w:p>
              </w:tc>
              <w:tc>
                <w:tcPr>
                  <w:tcW w:w="2338" w:type="dxa"/>
                </w:tcPr>
                <w:p w:rsidR="00E86F33" w:rsidRPr="00E86F33" w:rsidRDefault="00E86F33" w:rsidP="0035418A">
                  <w:pPr>
                    <w:jc w:val="both"/>
                  </w:pPr>
                  <w:r w:rsidRPr="00E86F33">
                    <w:t>Within 25 working days of collection date</w:t>
                  </w:r>
                </w:p>
              </w:tc>
            </w:tr>
            <w:tr w:rsidR="00E86F33" w:rsidTr="00E86F33">
              <w:tc>
                <w:tcPr>
                  <w:tcW w:w="2337" w:type="dxa"/>
                </w:tcPr>
                <w:p w:rsidR="00E86F33" w:rsidRDefault="00E86F33" w:rsidP="0035418A">
                  <w:pPr>
                    <w:jc w:val="both"/>
                    <w:rPr>
                      <w:b/>
                    </w:rPr>
                  </w:pPr>
                  <w:r>
                    <w:rPr>
                      <w:b/>
                    </w:rPr>
                    <w:t>Revenue Payments</w:t>
                  </w:r>
                </w:p>
              </w:tc>
              <w:tc>
                <w:tcPr>
                  <w:tcW w:w="2338" w:type="dxa"/>
                </w:tcPr>
                <w:p w:rsidR="00E86F33" w:rsidRPr="00E86F33" w:rsidRDefault="00E86F33" w:rsidP="0035418A">
                  <w:pPr>
                    <w:jc w:val="both"/>
                  </w:pPr>
                  <w:r w:rsidRPr="00E86F33">
                    <w:t>Within 30 working days of collection date</w:t>
                  </w:r>
                </w:p>
              </w:tc>
            </w:tr>
          </w:tbl>
          <w:p w:rsidR="00F127F7" w:rsidRDefault="00F127F7" w:rsidP="0035418A">
            <w:pPr>
              <w:jc w:val="both"/>
              <w:rPr>
                <w:b/>
              </w:rPr>
            </w:pPr>
          </w:p>
          <w:p w:rsidR="00E86F33" w:rsidRPr="00F127F7" w:rsidRDefault="00E86F33" w:rsidP="0035418A">
            <w:pPr>
              <w:jc w:val="both"/>
              <w:rPr>
                <w:b/>
              </w:rPr>
            </w:pPr>
          </w:p>
        </w:tc>
        <w:tc>
          <w:tcPr>
            <w:tcW w:w="3118" w:type="dxa"/>
          </w:tcPr>
          <w:p w:rsidR="00F127F7" w:rsidRDefault="00F127F7" w:rsidP="0027438C">
            <w:pPr>
              <w:jc w:val="both"/>
              <w:rPr>
                <w:b/>
                <w:bCs/>
              </w:rPr>
            </w:pPr>
          </w:p>
        </w:tc>
      </w:tr>
      <w:tr w:rsidR="00E86F33" w:rsidTr="0035418A">
        <w:tc>
          <w:tcPr>
            <w:tcW w:w="1048" w:type="dxa"/>
          </w:tcPr>
          <w:p w:rsidR="00E86F33" w:rsidRDefault="00E86F33" w:rsidP="0027438C">
            <w:pPr>
              <w:jc w:val="both"/>
              <w:rPr>
                <w:b/>
                <w:bCs/>
              </w:rPr>
            </w:pPr>
            <w:r>
              <w:rPr>
                <w:b/>
                <w:bCs/>
              </w:rPr>
              <w:t>MR15</w:t>
            </w:r>
          </w:p>
        </w:tc>
        <w:tc>
          <w:tcPr>
            <w:tcW w:w="4901" w:type="dxa"/>
          </w:tcPr>
          <w:p w:rsidR="00E86F33" w:rsidRPr="00E86F33" w:rsidRDefault="00E86F33" w:rsidP="00E86F33">
            <w:pPr>
              <w:jc w:val="both"/>
              <w:rPr>
                <w:b/>
              </w:rPr>
            </w:pPr>
            <w:r w:rsidRPr="00E86F33">
              <w:rPr>
                <w:b/>
              </w:rPr>
              <w:t>Escalation</w:t>
            </w:r>
          </w:p>
          <w:p w:rsidR="00E86F33" w:rsidRDefault="00E86F33" w:rsidP="00E86F33">
            <w:pPr>
              <w:jc w:val="both"/>
            </w:pPr>
          </w:p>
          <w:p w:rsidR="00E86F33" w:rsidRPr="00E86F33" w:rsidRDefault="00E86F33" w:rsidP="00E86F33">
            <w:pPr>
              <w:jc w:val="both"/>
            </w:pPr>
            <w:r w:rsidRPr="00E86F33">
              <w:t xml:space="preserve">A named contact and deputy, with direct-line </w:t>
            </w:r>
          </w:p>
          <w:p w:rsidR="00E86F33" w:rsidRDefault="00E86F33" w:rsidP="00E86F33">
            <w:pPr>
              <w:jc w:val="both"/>
            </w:pPr>
            <w:proofErr w:type="gramStart"/>
            <w:r w:rsidRPr="00E86F33">
              <w:t>telephone</w:t>
            </w:r>
            <w:proofErr w:type="gramEnd"/>
            <w:r w:rsidRPr="00E86F33">
              <w:t xml:space="preserve"> numbers and e-mail addresses must be provided by each Contractor appointed under this</w:t>
            </w:r>
            <w:r>
              <w:t xml:space="preserve"> </w:t>
            </w:r>
            <w:r w:rsidRPr="00E86F33">
              <w:t>framework for escalation of issues that cannot be resolved through normal contact with the supplier</w:t>
            </w:r>
            <w:r>
              <w:t xml:space="preserve"> </w:t>
            </w:r>
            <w:r w:rsidRPr="00E86F33">
              <w:t>service desk. These details must be provided during</w:t>
            </w:r>
            <w:r>
              <w:t xml:space="preserve"> the Site Validation Visit.</w:t>
            </w:r>
          </w:p>
          <w:p w:rsidR="00E86F33" w:rsidRDefault="00E86F33" w:rsidP="00E86F33">
            <w:pPr>
              <w:jc w:val="both"/>
            </w:pPr>
          </w:p>
          <w:p w:rsidR="00E86F33" w:rsidRDefault="00E86F33" w:rsidP="00E86F33">
            <w:pPr>
              <w:jc w:val="both"/>
            </w:pPr>
            <w:r>
              <w:t xml:space="preserve">Once an incident has been escalated the named contact must respond to the Authority within 3 working days of escalation and the issue must be resolved within 10 working days. </w:t>
            </w:r>
          </w:p>
          <w:p w:rsidR="00E86F33" w:rsidRDefault="00E86F33" w:rsidP="00E86F33">
            <w:pPr>
              <w:jc w:val="both"/>
            </w:pPr>
          </w:p>
          <w:p w:rsidR="00E86F33" w:rsidRPr="00E86F33" w:rsidRDefault="00E86F33" w:rsidP="00E86F33">
            <w:pPr>
              <w:jc w:val="both"/>
            </w:pPr>
            <w:r>
              <w:lastRenderedPageBreak/>
              <w:t>Where issues are not resolved within 10 working days after escalation, the named contact must meet with the Authority to discuss the issue and agree a way forward.</w:t>
            </w:r>
          </w:p>
        </w:tc>
        <w:tc>
          <w:tcPr>
            <w:tcW w:w="3118" w:type="dxa"/>
          </w:tcPr>
          <w:p w:rsidR="00E86F33" w:rsidRDefault="00E86F33" w:rsidP="0027438C">
            <w:pPr>
              <w:jc w:val="both"/>
              <w:rPr>
                <w:b/>
                <w:bCs/>
              </w:rPr>
            </w:pPr>
          </w:p>
        </w:tc>
      </w:tr>
      <w:tr w:rsidR="00E86F33" w:rsidTr="0035418A">
        <w:tc>
          <w:tcPr>
            <w:tcW w:w="1048" w:type="dxa"/>
          </w:tcPr>
          <w:p w:rsidR="00E86F33" w:rsidRDefault="00E86F33" w:rsidP="0027438C">
            <w:pPr>
              <w:jc w:val="both"/>
              <w:rPr>
                <w:b/>
                <w:bCs/>
              </w:rPr>
            </w:pPr>
            <w:r>
              <w:rPr>
                <w:b/>
                <w:bCs/>
              </w:rPr>
              <w:t>MR16</w:t>
            </w:r>
          </w:p>
        </w:tc>
        <w:tc>
          <w:tcPr>
            <w:tcW w:w="4901" w:type="dxa"/>
          </w:tcPr>
          <w:p w:rsidR="00E86F33" w:rsidRPr="00E86F33" w:rsidRDefault="00E86F33" w:rsidP="00E86F33">
            <w:pPr>
              <w:jc w:val="both"/>
              <w:rPr>
                <w:b/>
              </w:rPr>
            </w:pPr>
            <w:r w:rsidRPr="00E86F33">
              <w:rPr>
                <w:b/>
              </w:rPr>
              <w:t xml:space="preserve">Invoicing </w:t>
            </w:r>
          </w:p>
          <w:p w:rsidR="00E86F33" w:rsidRDefault="00E86F33" w:rsidP="00E86F33">
            <w:pPr>
              <w:jc w:val="both"/>
            </w:pPr>
          </w:p>
          <w:p w:rsidR="00E86F33" w:rsidRDefault="00E86F33" w:rsidP="00E86F33">
            <w:pPr>
              <w:jc w:val="both"/>
            </w:pPr>
            <w:r>
              <w:t>Invoices must be issued for each collection in line with the timeframes detailed in MR8 and must include as a minimum:</w:t>
            </w:r>
          </w:p>
          <w:p w:rsidR="00E86F33" w:rsidRDefault="00E86F33" w:rsidP="00E86F33">
            <w:pPr>
              <w:pStyle w:val="ListParagraph"/>
              <w:numPr>
                <w:ilvl w:val="0"/>
                <w:numId w:val="46"/>
              </w:numPr>
              <w:jc w:val="both"/>
            </w:pPr>
            <w:r>
              <w:t xml:space="preserve">the service providers invoice number </w:t>
            </w:r>
          </w:p>
          <w:p w:rsidR="00E86F33" w:rsidRDefault="00E86F33" w:rsidP="00E86F33">
            <w:pPr>
              <w:pStyle w:val="ListParagraph"/>
              <w:numPr>
                <w:ilvl w:val="0"/>
                <w:numId w:val="46"/>
              </w:numPr>
              <w:jc w:val="both"/>
            </w:pPr>
            <w:r>
              <w:t xml:space="preserve">the Authority’s account number </w:t>
            </w:r>
          </w:p>
          <w:p w:rsidR="00E86F33" w:rsidRDefault="00E86F33" w:rsidP="00E86F33">
            <w:pPr>
              <w:pStyle w:val="ListParagraph"/>
              <w:numPr>
                <w:ilvl w:val="0"/>
                <w:numId w:val="46"/>
              </w:numPr>
              <w:jc w:val="both"/>
            </w:pPr>
            <w:r>
              <w:t xml:space="preserve">the PO number; and </w:t>
            </w:r>
          </w:p>
          <w:p w:rsidR="00E86F33" w:rsidRDefault="00E86F33" w:rsidP="00E86F33">
            <w:pPr>
              <w:pStyle w:val="ListParagraph"/>
              <w:numPr>
                <w:ilvl w:val="0"/>
                <w:numId w:val="46"/>
              </w:numPr>
              <w:jc w:val="both"/>
            </w:pPr>
            <w:r>
              <w:t xml:space="preserve">the Service Request number for disposal that it covers </w:t>
            </w:r>
          </w:p>
          <w:p w:rsidR="00E86F33" w:rsidRDefault="00E86F33" w:rsidP="00E86F33">
            <w:pPr>
              <w:pStyle w:val="ListParagraph"/>
              <w:jc w:val="both"/>
            </w:pPr>
          </w:p>
          <w:p w:rsidR="00E86F33" w:rsidRPr="00E86F33" w:rsidRDefault="00E86F33" w:rsidP="00E86F33">
            <w:pPr>
              <w:jc w:val="both"/>
              <w:rPr>
                <w:b/>
              </w:rPr>
            </w:pPr>
            <w:r>
              <w:t>Invoices must be sent by email to the contact point detailed on the Request for Quotation – Appendix 2.</w:t>
            </w:r>
          </w:p>
        </w:tc>
        <w:tc>
          <w:tcPr>
            <w:tcW w:w="3118" w:type="dxa"/>
          </w:tcPr>
          <w:p w:rsidR="00E86F33" w:rsidRDefault="00E86F33" w:rsidP="0027438C">
            <w:pPr>
              <w:jc w:val="both"/>
              <w:rPr>
                <w:b/>
                <w:bCs/>
              </w:rPr>
            </w:pPr>
          </w:p>
        </w:tc>
      </w:tr>
      <w:tr w:rsidR="00E86F33" w:rsidTr="0035418A">
        <w:tc>
          <w:tcPr>
            <w:tcW w:w="1048" w:type="dxa"/>
          </w:tcPr>
          <w:p w:rsidR="00E86F33" w:rsidRDefault="00E86F33" w:rsidP="0027438C">
            <w:pPr>
              <w:jc w:val="both"/>
              <w:rPr>
                <w:b/>
                <w:bCs/>
              </w:rPr>
            </w:pPr>
            <w:r>
              <w:rPr>
                <w:b/>
                <w:bCs/>
              </w:rPr>
              <w:t>MR17</w:t>
            </w:r>
          </w:p>
        </w:tc>
        <w:tc>
          <w:tcPr>
            <w:tcW w:w="4901" w:type="dxa"/>
          </w:tcPr>
          <w:p w:rsidR="00E86F33" w:rsidRPr="00E86F33" w:rsidRDefault="00E86F33" w:rsidP="00E86F33">
            <w:pPr>
              <w:jc w:val="both"/>
              <w:rPr>
                <w:b/>
              </w:rPr>
            </w:pPr>
            <w:r w:rsidRPr="00E86F33">
              <w:rPr>
                <w:b/>
              </w:rPr>
              <w:t xml:space="preserve">Revenue Payment </w:t>
            </w:r>
          </w:p>
          <w:p w:rsidR="00E86F33" w:rsidRDefault="00E86F33" w:rsidP="00E86F33">
            <w:pPr>
              <w:jc w:val="both"/>
            </w:pPr>
          </w:p>
          <w:p w:rsidR="00E86F33" w:rsidRDefault="00E86F33" w:rsidP="00E86F33">
            <w:pPr>
              <w:jc w:val="both"/>
            </w:pPr>
            <w:r>
              <w:t>Where the Request for Quotation results in a revenue payment this must be paid directly to the Authority within 30 working days.</w:t>
            </w:r>
          </w:p>
          <w:p w:rsidR="00E86F33" w:rsidRDefault="00E86F33" w:rsidP="00E86F33">
            <w:pPr>
              <w:jc w:val="both"/>
            </w:pPr>
          </w:p>
          <w:p w:rsidR="00E86F33" w:rsidRPr="00E86F33" w:rsidRDefault="00E86F33" w:rsidP="00E86F33">
            <w:pPr>
              <w:jc w:val="both"/>
              <w:rPr>
                <w:b/>
              </w:rPr>
            </w:pPr>
            <w:r>
              <w:t>Details regarding the repayment method must be included on the Request for Quotation Form – Appendix 2</w:t>
            </w:r>
          </w:p>
        </w:tc>
        <w:tc>
          <w:tcPr>
            <w:tcW w:w="3118" w:type="dxa"/>
          </w:tcPr>
          <w:p w:rsidR="00E86F33" w:rsidRDefault="00E86F33" w:rsidP="0027438C">
            <w:pPr>
              <w:jc w:val="both"/>
              <w:rPr>
                <w:b/>
                <w:bCs/>
              </w:rPr>
            </w:pPr>
          </w:p>
        </w:tc>
      </w:tr>
      <w:tr w:rsidR="00E86F33" w:rsidTr="0035418A">
        <w:tc>
          <w:tcPr>
            <w:tcW w:w="1048" w:type="dxa"/>
          </w:tcPr>
          <w:p w:rsidR="00E86F33" w:rsidRDefault="00E86F33" w:rsidP="0027438C">
            <w:pPr>
              <w:jc w:val="both"/>
              <w:rPr>
                <w:b/>
                <w:bCs/>
              </w:rPr>
            </w:pPr>
          </w:p>
        </w:tc>
        <w:tc>
          <w:tcPr>
            <w:tcW w:w="4901" w:type="dxa"/>
          </w:tcPr>
          <w:p w:rsidR="00E86F33" w:rsidRPr="00E86F33" w:rsidRDefault="00E86F33" w:rsidP="00E86F33">
            <w:pPr>
              <w:jc w:val="both"/>
              <w:rPr>
                <w:b/>
              </w:rPr>
            </w:pPr>
            <w:r w:rsidRPr="00E86F33">
              <w:rPr>
                <w:b/>
              </w:rPr>
              <w:t xml:space="preserve">Contract Information </w:t>
            </w:r>
          </w:p>
          <w:p w:rsidR="00E86F33" w:rsidRDefault="00E86F33" w:rsidP="00E86F33">
            <w:pPr>
              <w:jc w:val="both"/>
            </w:pPr>
          </w:p>
          <w:p w:rsidR="00E86F33" w:rsidRDefault="00E86F33" w:rsidP="00E86F33">
            <w:pPr>
              <w:jc w:val="both"/>
            </w:pPr>
            <w:r>
              <w:t xml:space="preserve">Each Contractor appointed under this framework must provide a quarterly report to the Central Procurement Directorate (CPD) clearly detailing for the specified period : </w:t>
            </w:r>
          </w:p>
          <w:p w:rsidR="00E86F33" w:rsidRDefault="00E86F33" w:rsidP="00E86F33">
            <w:pPr>
              <w:jc w:val="both"/>
            </w:pPr>
          </w:p>
          <w:p w:rsidR="00E86F33" w:rsidRDefault="00E86F33" w:rsidP="00E86F33">
            <w:pPr>
              <w:pStyle w:val="ListParagraph"/>
              <w:numPr>
                <w:ilvl w:val="0"/>
                <w:numId w:val="47"/>
              </w:numPr>
              <w:jc w:val="both"/>
            </w:pPr>
            <w:r>
              <w:t>items collected</w:t>
            </w:r>
          </w:p>
          <w:p w:rsidR="00E86F33" w:rsidRDefault="00E86F33" w:rsidP="00E86F33">
            <w:pPr>
              <w:pStyle w:val="ListParagraph"/>
              <w:numPr>
                <w:ilvl w:val="0"/>
                <w:numId w:val="47"/>
              </w:numPr>
              <w:jc w:val="both"/>
            </w:pPr>
            <w:r>
              <w:t>items disposed</w:t>
            </w:r>
          </w:p>
          <w:p w:rsidR="00E86F33" w:rsidRDefault="00E86F33" w:rsidP="00E86F33">
            <w:pPr>
              <w:pStyle w:val="ListParagraph"/>
              <w:numPr>
                <w:ilvl w:val="0"/>
                <w:numId w:val="47"/>
              </w:numPr>
              <w:jc w:val="both"/>
            </w:pPr>
            <w:r>
              <w:t>items recycled</w:t>
            </w:r>
          </w:p>
          <w:p w:rsidR="00E86F33" w:rsidRDefault="00E86F33" w:rsidP="00E86F33">
            <w:pPr>
              <w:pStyle w:val="ListParagraph"/>
              <w:numPr>
                <w:ilvl w:val="0"/>
                <w:numId w:val="47"/>
              </w:numPr>
              <w:jc w:val="both"/>
            </w:pPr>
            <w:r>
              <w:t>date collected</w:t>
            </w:r>
          </w:p>
          <w:p w:rsidR="00E86F33" w:rsidRDefault="00E86F33" w:rsidP="00E86F33">
            <w:pPr>
              <w:pStyle w:val="ListParagraph"/>
              <w:numPr>
                <w:ilvl w:val="0"/>
                <w:numId w:val="47"/>
              </w:numPr>
              <w:jc w:val="both"/>
            </w:pPr>
            <w:r>
              <w:t>date disposed</w:t>
            </w:r>
          </w:p>
          <w:p w:rsidR="00E86F33" w:rsidRDefault="00E86F33" w:rsidP="00E86F33">
            <w:pPr>
              <w:pStyle w:val="ListParagraph"/>
              <w:numPr>
                <w:ilvl w:val="0"/>
                <w:numId w:val="47"/>
              </w:numPr>
              <w:jc w:val="both"/>
            </w:pPr>
            <w:r>
              <w:t>date of wiping</w:t>
            </w:r>
          </w:p>
          <w:p w:rsidR="00E86F33" w:rsidRDefault="00E86F33" w:rsidP="00E86F33">
            <w:pPr>
              <w:pStyle w:val="ListParagraph"/>
              <w:numPr>
                <w:ilvl w:val="0"/>
                <w:numId w:val="47"/>
              </w:numPr>
              <w:jc w:val="both"/>
            </w:pPr>
            <w:r>
              <w:t>spend/revenue</w:t>
            </w:r>
          </w:p>
          <w:p w:rsidR="00E86F33" w:rsidRDefault="00E86F33" w:rsidP="009C6843">
            <w:pPr>
              <w:pStyle w:val="ListParagraph"/>
              <w:jc w:val="both"/>
            </w:pPr>
          </w:p>
          <w:p w:rsidR="00E86F33" w:rsidRDefault="00E86F33" w:rsidP="00E86F33">
            <w:pPr>
              <w:jc w:val="both"/>
            </w:pPr>
            <w:r>
              <w:t>The report must be sent electronically within 10 working days of the quarter end. An email address will be provided within the letter of inclusion on the framework</w:t>
            </w:r>
          </w:p>
          <w:p w:rsidR="00E86F33" w:rsidRPr="00E86F33" w:rsidRDefault="00E86F33" w:rsidP="00E86F33">
            <w:pPr>
              <w:jc w:val="both"/>
              <w:rPr>
                <w:b/>
              </w:rPr>
            </w:pPr>
          </w:p>
        </w:tc>
        <w:tc>
          <w:tcPr>
            <w:tcW w:w="3118" w:type="dxa"/>
          </w:tcPr>
          <w:p w:rsidR="00E86F33" w:rsidRDefault="00E86F33" w:rsidP="0027438C">
            <w:pPr>
              <w:jc w:val="both"/>
              <w:rPr>
                <w:b/>
                <w:bCs/>
              </w:rPr>
            </w:pPr>
          </w:p>
        </w:tc>
      </w:tr>
      <w:tr w:rsidR="004761E4" w:rsidTr="0035418A">
        <w:tc>
          <w:tcPr>
            <w:tcW w:w="1048" w:type="dxa"/>
          </w:tcPr>
          <w:p w:rsidR="004761E4" w:rsidRDefault="004761E4" w:rsidP="0027438C">
            <w:pPr>
              <w:jc w:val="both"/>
              <w:rPr>
                <w:b/>
                <w:bCs/>
              </w:rPr>
            </w:pPr>
          </w:p>
        </w:tc>
        <w:tc>
          <w:tcPr>
            <w:tcW w:w="4901" w:type="dxa"/>
          </w:tcPr>
          <w:p w:rsidR="004761E4" w:rsidRPr="004761E4" w:rsidRDefault="004761E4" w:rsidP="00E86F33">
            <w:pPr>
              <w:jc w:val="both"/>
              <w:rPr>
                <w:b/>
                <w:highlight w:val="yellow"/>
              </w:rPr>
            </w:pPr>
            <w:r w:rsidRPr="004761E4">
              <w:rPr>
                <w:b/>
                <w:highlight w:val="yellow"/>
              </w:rPr>
              <w:t>Social Value</w:t>
            </w:r>
          </w:p>
        </w:tc>
        <w:tc>
          <w:tcPr>
            <w:tcW w:w="3118" w:type="dxa"/>
          </w:tcPr>
          <w:p w:rsidR="004761E4" w:rsidRDefault="004761E4" w:rsidP="0027438C">
            <w:pPr>
              <w:jc w:val="both"/>
              <w:rPr>
                <w:b/>
                <w:bCs/>
              </w:rPr>
            </w:pPr>
          </w:p>
        </w:tc>
      </w:tr>
      <w:tr w:rsidR="004761E4" w:rsidTr="0035418A">
        <w:tc>
          <w:tcPr>
            <w:tcW w:w="1048" w:type="dxa"/>
          </w:tcPr>
          <w:p w:rsidR="004761E4" w:rsidRDefault="004761E4" w:rsidP="0027438C">
            <w:pPr>
              <w:jc w:val="both"/>
              <w:rPr>
                <w:b/>
                <w:bCs/>
              </w:rPr>
            </w:pPr>
          </w:p>
        </w:tc>
        <w:tc>
          <w:tcPr>
            <w:tcW w:w="4901" w:type="dxa"/>
          </w:tcPr>
          <w:p w:rsidR="004761E4" w:rsidRPr="004761E4" w:rsidRDefault="004761E4" w:rsidP="00E86F33">
            <w:pPr>
              <w:jc w:val="both"/>
              <w:rPr>
                <w:b/>
                <w:highlight w:val="yellow"/>
              </w:rPr>
            </w:pPr>
            <w:r w:rsidRPr="004761E4">
              <w:rPr>
                <w:b/>
                <w:highlight w:val="yellow"/>
              </w:rPr>
              <w:t>Climate Change</w:t>
            </w:r>
          </w:p>
        </w:tc>
        <w:tc>
          <w:tcPr>
            <w:tcW w:w="3118" w:type="dxa"/>
          </w:tcPr>
          <w:p w:rsidR="004761E4" w:rsidRDefault="004761E4" w:rsidP="0027438C">
            <w:pPr>
              <w:jc w:val="both"/>
              <w:rPr>
                <w:b/>
                <w:bCs/>
              </w:rPr>
            </w:pPr>
          </w:p>
        </w:tc>
      </w:tr>
      <w:tr w:rsidR="004761E4" w:rsidTr="0035418A">
        <w:tc>
          <w:tcPr>
            <w:tcW w:w="1048" w:type="dxa"/>
          </w:tcPr>
          <w:p w:rsidR="004761E4" w:rsidRDefault="004761E4" w:rsidP="0027438C">
            <w:pPr>
              <w:jc w:val="both"/>
              <w:rPr>
                <w:b/>
                <w:bCs/>
              </w:rPr>
            </w:pPr>
          </w:p>
        </w:tc>
        <w:tc>
          <w:tcPr>
            <w:tcW w:w="4901" w:type="dxa"/>
          </w:tcPr>
          <w:p w:rsidR="004761E4" w:rsidRPr="004761E4" w:rsidRDefault="004761E4" w:rsidP="00E86F33">
            <w:pPr>
              <w:jc w:val="both"/>
              <w:rPr>
                <w:b/>
                <w:highlight w:val="yellow"/>
              </w:rPr>
            </w:pPr>
            <w:r w:rsidRPr="004761E4">
              <w:rPr>
                <w:b/>
                <w:highlight w:val="yellow"/>
              </w:rPr>
              <w:t>Modern Slavery</w:t>
            </w:r>
          </w:p>
        </w:tc>
        <w:tc>
          <w:tcPr>
            <w:tcW w:w="3118" w:type="dxa"/>
          </w:tcPr>
          <w:p w:rsidR="004761E4" w:rsidRDefault="004761E4" w:rsidP="0027438C">
            <w:pPr>
              <w:jc w:val="both"/>
              <w:rPr>
                <w:b/>
                <w:bCs/>
              </w:rPr>
            </w:pPr>
          </w:p>
        </w:tc>
      </w:tr>
    </w:tbl>
    <w:p w:rsidR="0027438C" w:rsidRDefault="0027438C" w:rsidP="0027438C">
      <w:pPr>
        <w:spacing w:line="240" w:lineRule="auto"/>
        <w:jc w:val="both"/>
        <w:rPr>
          <w:b/>
          <w:bCs/>
        </w:rPr>
      </w:pPr>
    </w:p>
    <w:p w:rsidR="00D97896" w:rsidRPr="0027438C" w:rsidRDefault="00D97896" w:rsidP="0027438C">
      <w:pPr>
        <w:spacing w:line="240" w:lineRule="auto"/>
        <w:jc w:val="both"/>
        <w:rPr>
          <w:b/>
          <w:bCs/>
        </w:rPr>
      </w:pPr>
    </w:p>
    <w:p w:rsidR="0068097F" w:rsidRDefault="0068097F" w:rsidP="00894977">
      <w:pPr>
        <w:spacing w:after="0" w:line="240" w:lineRule="auto"/>
        <w:jc w:val="both"/>
      </w:pPr>
    </w:p>
    <w:p w:rsidR="00F35069" w:rsidRPr="00706643" w:rsidRDefault="00F35069" w:rsidP="005C0197">
      <w:pPr>
        <w:pStyle w:val="ListParagraph"/>
        <w:numPr>
          <w:ilvl w:val="0"/>
          <w:numId w:val="23"/>
        </w:numPr>
        <w:spacing w:after="0" w:line="240" w:lineRule="auto"/>
        <w:jc w:val="both"/>
        <w:rPr>
          <w:b/>
          <w:sz w:val="28"/>
        </w:rPr>
      </w:pPr>
      <w:r w:rsidRPr="00706643">
        <w:rPr>
          <w:b/>
          <w:sz w:val="28"/>
        </w:rPr>
        <w:t>Response / Questionnaire</w:t>
      </w:r>
    </w:p>
    <w:p w:rsidR="008E5235" w:rsidRDefault="008E5235" w:rsidP="005C0197">
      <w:pPr>
        <w:spacing w:after="0" w:line="240" w:lineRule="auto"/>
        <w:ind w:left="360"/>
        <w:jc w:val="both"/>
      </w:pPr>
    </w:p>
    <w:p w:rsidR="001B2DA6" w:rsidRDefault="001B2DA6" w:rsidP="001B2DA6">
      <w:pPr>
        <w:spacing w:after="0" w:line="240" w:lineRule="auto"/>
        <w:ind w:left="360"/>
        <w:jc w:val="both"/>
      </w:pPr>
      <w:r w:rsidRPr="00361EC5">
        <w:t xml:space="preserve">As part of this RFI, the Authority is seeking to obtain sufficient information to enable </w:t>
      </w:r>
      <w:r>
        <w:t>the</w:t>
      </w:r>
      <w:r w:rsidRPr="00361EC5">
        <w:t xml:space="preserve"> further develop</w:t>
      </w:r>
      <w:r>
        <w:t>ment</w:t>
      </w:r>
      <w:r w:rsidRPr="00361EC5">
        <w:t xml:space="preserve"> </w:t>
      </w:r>
      <w:r>
        <w:t>of the</w:t>
      </w:r>
      <w:r w:rsidRPr="00361EC5">
        <w:t xml:space="preserve"> requirements, understand potential costs, as well as </w:t>
      </w:r>
      <w:r>
        <w:t xml:space="preserve">obtain a </w:t>
      </w:r>
      <w:r w:rsidRPr="00361EC5">
        <w:t>better understand</w:t>
      </w:r>
      <w:r>
        <w:t>ing of the</w:t>
      </w:r>
      <w:r w:rsidRPr="00361EC5">
        <w:t xml:space="preserve"> timescales associated with the </w:t>
      </w:r>
      <w:r>
        <w:t>implementation</w:t>
      </w:r>
      <w:r w:rsidRPr="00361EC5">
        <w:t xml:space="preserve"> of </w:t>
      </w:r>
      <w:r w:rsidR="00D97896">
        <w:t>the service</w:t>
      </w:r>
      <w:r w:rsidRPr="00361EC5">
        <w:t>.</w:t>
      </w:r>
    </w:p>
    <w:p w:rsidR="001B2DA6" w:rsidRDefault="001B2DA6" w:rsidP="001B2DA6">
      <w:pPr>
        <w:spacing w:after="0" w:line="240" w:lineRule="auto"/>
        <w:ind w:left="360"/>
        <w:jc w:val="both"/>
      </w:pPr>
    </w:p>
    <w:p w:rsidR="001B2DA6" w:rsidRDefault="001B2DA6" w:rsidP="001B2DA6">
      <w:pPr>
        <w:spacing w:after="0" w:line="240" w:lineRule="auto"/>
        <w:ind w:left="360"/>
        <w:jc w:val="both"/>
      </w:pPr>
      <w:r>
        <w:t xml:space="preserve">At this stage, the Authority is anticipating that </w:t>
      </w:r>
      <w:r w:rsidR="00D97896">
        <w:t>services</w:t>
      </w:r>
      <w:r>
        <w:t xml:space="preserve"> are fully implemented by the end of </w:t>
      </w:r>
      <w:r w:rsidR="00D97896" w:rsidRPr="00D97896">
        <w:rPr>
          <w:highlight w:val="yellow"/>
        </w:rPr>
        <w:t>January 2022</w:t>
      </w:r>
      <w:r>
        <w:t>. This is subject to change.</w:t>
      </w:r>
    </w:p>
    <w:p w:rsidR="001B2DA6" w:rsidRPr="00361EC5" w:rsidRDefault="001B2DA6" w:rsidP="001B2DA6">
      <w:pPr>
        <w:spacing w:after="0" w:line="240" w:lineRule="auto"/>
        <w:ind w:left="360"/>
        <w:jc w:val="both"/>
      </w:pPr>
      <w:r w:rsidRPr="00361EC5">
        <w:t xml:space="preserve"> </w:t>
      </w:r>
    </w:p>
    <w:p w:rsidR="001B2DA6" w:rsidRDefault="00D97896" w:rsidP="001B2DA6">
      <w:pPr>
        <w:spacing w:after="0" w:line="240" w:lineRule="auto"/>
        <w:ind w:left="360"/>
        <w:jc w:val="both"/>
      </w:pPr>
      <w:r>
        <w:t>T</w:t>
      </w:r>
      <w:r w:rsidR="001B2DA6" w:rsidRPr="00F35069">
        <w:t>he Authority request</w:t>
      </w:r>
      <w:r w:rsidR="001B2DA6">
        <w:t>s</w:t>
      </w:r>
      <w:r w:rsidR="001B2DA6" w:rsidRPr="00F35069">
        <w:t xml:space="preserve"> that </w:t>
      </w:r>
      <w:r w:rsidR="001B2DA6">
        <w:t>suppliers</w:t>
      </w:r>
      <w:r w:rsidR="001B2DA6" w:rsidRPr="00F35069">
        <w:t xml:space="preserve"> provide </w:t>
      </w:r>
      <w:r>
        <w:t>their comments and feedback to each of the mandatory requ</w:t>
      </w:r>
      <w:r w:rsidR="00AC71DF">
        <w:t>irements listed above and provid</w:t>
      </w:r>
      <w:bookmarkStart w:id="0" w:name="_GoBack"/>
      <w:bookmarkEnd w:id="0"/>
      <w:r>
        <w:t xml:space="preserve">e </w:t>
      </w:r>
      <w:r w:rsidR="001B2DA6" w:rsidRPr="00F35069">
        <w:t xml:space="preserve">sufficient detail </w:t>
      </w:r>
      <w:r>
        <w:t xml:space="preserve">of their service offering </w:t>
      </w:r>
      <w:r w:rsidR="001B2DA6" w:rsidRPr="00F35069">
        <w:t>to enable full understan</w:t>
      </w:r>
      <w:r w:rsidR="001B2DA6">
        <w:t>ding of the</w:t>
      </w:r>
      <w:r w:rsidR="001B2DA6" w:rsidRPr="00F35069">
        <w:t xml:space="preserve"> </w:t>
      </w:r>
      <w:r>
        <w:t>potential service</w:t>
      </w:r>
      <w:r w:rsidR="001B2DA6" w:rsidRPr="00F35069">
        <w:t xml:space="preserve"> solutions and any exclusions, </w:t>
      </w:r>
      <w:r w:rsidR="005D120A" w:rsidRPr="00F35069">
        <w:t>dependencies,</w:t>
      </w:r>
      <w:r w:rsidR="001B2DA6" w:rsidRPr="00F35069">
        <w:t xml:space="preserve"> and assumptions are clearly stated.</w:t>
      </w:r>
    </w:p>
    <w:p w:rsidR="00706643" w:rsidRDefault="00706643" w:rsidP="00D97896">
      <w:pPr>
        <w:spacing w:after="0" w:line="240" w:lineRule="auto"/>
        <w:jc w:val="both"/>
      </w:pPr>
    </w:p>
    <w:sectPr w:rsidR="00706643" w:rsidSect="00B7261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BA" w:rsidRDefault="00CC20BA" w:rsidP="00CE6622">
      <w:pPr>
        <w:spacing w:after="0" w:line="240" w:lineRule="auto"/>
      </w:pPr>
      <w:r>
        <w:separator/>
      </w:r>
    </w:p>
  </w:endnote>
  <w:endnote w:type="continuationSeparator" w:id="0">
    <w:p w:rsidR="00CC20BA" w:rsidRDefault="00CC20BA" w:rsidP="00CE6622">
      <w:pPr>
        <w:spacing w:after="0" w:line="240" w:lineRule="auto"/>
      </w:pPr>
      <w:r>
        <w:continuationSeparator/>
      </w:r>
    </w:p>
  </w:endnote>
  <w:endnote w:type="continuationNotice" w:id="1">
    <w:p w:rsidR="00CC20BA" w:rsidRDefault="00CC2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06043"/>
      <w:docPartObj>
        <w:docPartGallery w:val="Page Numbers (Bottom of Page)"/>
        <w:docPartUnique/>
      </w:docPartObj>
    </w:sdtPr>
    <w:sdtEndPr>
      <w:rPr>
        <w:noProof/>
      </w:rPr>
    </w:sdtEndPr>
    <w:sdtContent>
      <w:p w:rsidR="008F3AEA" w:rsidRDefault="008F3AEA">
        <w:pPr>
          <w:pStyle w:val="Footer"/>
          <w:jc w:val="right"/>
        </w:pPr>
        <w:r>
          <w:fldChar w:fldCharType="begin"/>
        </w:r>
        <w:r>
          <w:instrText xml:space="preserve"> PAGE   \* MERGEFORMAT </w:instrText>
        </w:r>
        <w:r>
          <w:fldChar w:fldCharType="separate"/>
        </w:r>
        <w:r w:rsidR="00AC71DF">
          <w:rPr>
            <w:noProof/>
          </w:rPr>
          <w:t>2</w:t>
        </w:r>
        <w:r>
          <w:rPr>
            <w:noProof/>
          </w:rPr>
          <w:fldChar w:fldCharType="end"/>
        </w:r>
      </w:p>
    </w:sdtContent>
  </w:sdt>
  <w:p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BA" w:rsidRDefault="00CC20BA" w:rsidP="00CE6622">
      <w:pPr>
        <w:spacing w:after="0" w:line="240" w:lineRule="auto"/>
      </w:pPr>
      <w:r>
        <w:separator/>
      </w:r>
    </w:p>
  </w:footnote>
  <w:footnote w:type="continuationSeparator" w:id="0">
    <w:p w:rsidR="00CC20BA" w:rsidRDefault="00CC20BA" w:rsidP="00CE6622">
      <w:pPr>
        <w:spacing w:after="0" w:line="240" w:lineRule="auto"/>
      </w:pPr>
      <w:r>
        <w:continuationSeparator/>
      </w:r>
    </w:p>
  </w:footnote>
  <w:footnote w:type="continuationNotice" w:id="1">
    <w:p w:rsidR="00CC20BA" w:rsidRDefault="00CC20B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CFB"/>
    <w:multiLevelType w:val="hybridMultilevel"/>
    <w:tmpl w:val="61C8D57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52189F"/>
    <w:multiLevelType w:val="hybridMultilevel"/>
    <w:tmpl w:val="5E00B544"/>
    <w:lvl w:ilvl="0" w:tplc="5E2420B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16E00"/>
    <w:multiLevelType w:val="hybridMultilevel"/>
    <w:tmpl w:val="75F81C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822EA"/>
    <w:multiLevelType w:val="multilevel"/>
    <w:tmpl w:val="659EFEF4"/>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A938D8"/>
    <w:multiLevelType w:val="multilevel"/>
    <w:tmpl w:val="F90859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0E5C8A"/>
    <w:multiLevelType w:val="multilevel"/>
    <w:tmpl w:val="999A4FB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bCs/>
        <w:sz w:val="24"/>
        <w:szCs w:val="2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033685"/>
    <w:multiLevelType w:val="hybridMultilevel"/>
    <w:tmpl w:val="77F42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437FF"/>
    <w:multiLevelType w:val="multilevel"/>
    <w:tmpl w:val="E1C8305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sz w:val="24"/>
        <w:szCs w:val="2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882CB1"/>
    <w:multiLevelType w:val="hybridMultilevel"/>
    <w:tmpl w:val="D442A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97E20"/>
    <w:multiLevelType w:val="hybridMultilevel"/>
    <w:tmpl w:val="F00CAEE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B01A1D"/>
    <w:multiLevelType w:val="multilevel"/>
    <w:tmpl w:val="FF8A0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4"/>
        <w:szCs w:val="2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DF70F0"/>
    <w:multiLevelType w:val="multilevel"/>
    <w:tmpl w:val="FAAAD1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7C01FA"/>
    <w:multiLevelType w:val="multilevel"/>
    <w:tmpl w:val="FF8A0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4"/>
        <w:szCs w:val="2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F2326F"/>
    <w:multiLevelType w:val="hybridMultilevel"/>
    <w:tmpl w:val="FE8E5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0031D6"/>
    <w:multiLevelType w:val="hybridMultilevel"/>
    <w:tmpl w:val="23CC8C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F7F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D617E2"/>
    <w:multiLevelType w:val="hybridMultilevel"/>
    <w:tmpl w:val="DD4A0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EA3E69"/>
    <w:multiLevelType w:val="hybridMultilevel"/>
    <w:tmpl w:val="FF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D5D55"/>
    <w:multiLevelType w:val="hybridMultilevel"/>
    <w:tmpl w:val="ACDE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56614"/>
    <w:multiLevelType w:val="hybridMultilevel"/>
    <w:tmpl w:val="F0C07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610F4E"/>
    <w:multiLevelType w:val="hybridMultilevel"/>
    <w:tmpl w:val="A02680F6"/>
    <w:lvl w:ilvl="0" w:tplc="0809000F">
      <w:start w:val="1"/>
      <w:numFmt w:val="decimal"/>
      <w:lvlText w:val="%1."/>
      <w:lvlJc w:val="left"/>
      <w:pPr>
        <w:ind w:left="360" w:hanging="360"/>
      </w:pPr>
      <w:rPr>
        <w:rFonts w:hint="default"/>
      </w:r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1" w15:restartNumberingAfterBreak="0">
    <w:nsid w:val="4C616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0E49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6B2EA6"/>
    <w:multiLevelType w:val="hybridMultilevel"/>
    <w:tmpl w:val="693A53FA"/>
    <w:lvl w:ilvl="0" w:tplc="EDB275E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E6F456F"/>
    <w:multiLevelType w:val="hybridMultilevel"/>
    <w:tmpl w:val="2A321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6C417A"/>
    <w:multiLevelType w:val="multilevel"/>
    <w:tmpl w:val="56C664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C9317A"/>
    <w:multiLevelType w:val="multilevel"/>
    <w:tmpl w:val="999A4FB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val="0"/>
        <w:bCs/>
        <w:sz w:val="24"/>
        <w:szCs w:val="20"/>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357159"/>
    <w:multiLevelType w:val="multilevel"/>
    <w:tmpl w:val="999A4FB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val="0"/>
        <w:bCs/>
        <w:sz w:val="24"/>
        <w:szCs w:val="20"/>
      </w:rPr>
    </w:lvl>
    <w:lvl w:ilvl="2">
      <w:start w:val="1"/>
      <w:numFmt w:val="bullet"/>
      <w:lvlText w:val=""/>
      <w:lvlJc w:val="left"/>
      <w:pPr>
        <w:ind w:left="1713"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D305C6"/>
    <w:multiLevelType w:val="hybridMultilevel"/>
    <w:tmpl w:val="2E9A2806"/>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29" w15:restartNumberingAfterBreak="0">
    <w:nsid w:val="5CBC66D9"/>
    <w:multiLevelType w:val="hybridMultilevel"/>
    <w:tmpl w:val="8C4CBDF8"/>
    <w:lvl w:ilvl="0" w:tplc="678E22F4">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EA64F4E"/>
    <w:multiLevelType w:val="hybridMultilevel"/>
    <w:tmpl w:val="7394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E6AFA"/>
    <w:multiLevelType w:val="hybridMultilevel"/>
    <w:tmpl w:val="A5F08A2C"/>
    <w:lvl w:ilvl="0" w:tplc="08090015">
      <w:start w:val="1"/>
      <w:numFmt w:val="upp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731325"/>
    <w:multiLevelType w:val="hybridMultilevel"/>
    <w:tmpl w:val="3F725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527DCC"/>
    <w:multiLevelType w:val="hybridMultilevel"/>
    <w:tmpl w:val="6E88EC5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434CA"/>
    <w:multiLevelType w:val="multilevel"/>
    <w:tmpl w:val="53F2DB54"/>
    <w:lvl w:ilvl="0">
      <w:start w:val="1"/>
      <w:numFmt w:val="decimal"/>
      <w:lvlText w:val="%1)"/>
      <w:lvlJc w:val="left"/>
      <w:pPr>
        <w:ind w:left="360" w:hanging="360"/>
      </w:pPr>
    </w:lvl>
    <w:lvl w:ilvl="1">
      <w:start w:val="1"/>
      <w:numFmt w:val="upperRoman"/>
      <w:lvlText w:val="%2."/>
      <w:lvlJc w:val="right"/>
      <w:pPr>
        <w:ind w:left="720" w:hanging="360"/>
      </w:pPr>
      <w:rPr>
        <w:b/>
        <w:bCs/>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B05CBE"/>
    <w:multiLevelType w:val="hybridMultilevel"/>
    <w:tmpl w:val="ADF04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04B62"/>
    <w:multiLevelType w:val="hybridMultilevel"/>
    <w:tmpl w:val="8C8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7048D"/>
    <w:multiLevelType w:val="hybridMultilevel"/>
    <w:tmpl w:val="81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13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F32C4"/>
    <w:multiLevelType w:val="hybridMultilevel"/>
    <w:tmpl w:val="825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7487C"/>
    <w:multiLevelType w:val="hybridMultilevel"/>
    <w:tmpl w:val="004C9A68"/>
    <w:lvl w:ilvl="0" w:tplc="EDB275E6">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820BF"/>
    <w:multiLevelType w:val="hybridMultilevel"/>
    <w:tmpl w:val="F56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543EF"/>
    <w:multiLevelType w:val="multilevel"/>
    <w:tmpl w:val="999A4FB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val="0"/>
        <w:bCs/>
        <w:sz w:val="24"/>
        <w:szCs w:val="20"/>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ED5BF5"/>
    <w:multiLevelType w:val="hybridMultilevel"/>
    <w:tmpl w:val="39DA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5247E"/>
    <w:multiLevelType w:val="hybridMultilevel"/>
    <w:tmpl w:val="64848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A922F3"/>
    <w:multiLevelType w:val="hybridMultilevel"/>
    <w:tmpl w:val="612EAB66"/>
    <w:lvl w:ilvl="0" w:tplc="4BFA03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20E8E"/>
    <w:multiLevelType w:val="hybridMultilevel"/>
    <w:tmpl w:val="A7A059FE"/>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47" w15:restartNumberingAfterBreak="0">
    <w:nsid w:val="7CAF13C2"/>
    <w:multiLevelType w:val="hybridMultilevel"/>
    <w:tmpl w:val="2612E032"/>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D132810"/>
    <w:multiLevelType w:val="hybridMultilevel"/>
    <w:tmpl w:val="EE4A253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35"/>
  </w:num>
  <w:num w:numId="3">
    <w:abstractNumId w:val="0"/>
  </w:num>
  <w:num w:numId="4">
    <w:abstractNumId w:val="19"/>
  </w:num>
  <w:num w:numId="5">
    <w:abstractNumId w:val="8"/>
  </w:num>
  <w:num w:numId="6">
    <w:abstractNumId w:val="14"/>
  </w:num>
  <w:num w:numId="7">
    <w:abstractNumId w:val="1"/>
  </w:num>
  <w:num w:numId="8">
    <w:abstractNumId w:val="12"/>
  </w:num>
  <w:num w:numId="9">
    <w:abstractNumId w:val="37"/>
  </w:num>
  <w:num w:numId="10">
    <w:abstractNumId w:val="2"/>
  </w:num>
  <w:num w:numId="11">
    <w:abstractNumId w:val="13"/>
  </w:num>
  <w:num w:numId="12">
    <w:abstractNumId w:val="10"/>
  </w:num>
  <w:num w:numId="13">
    <w:abstractNumId w:val="3"/>
  </w:num>
  <w:num w:numId="14">
    <w:abstractNumId w:val="28"/>
  </w:num>
  <w:num w:numId="15">
    <w:abstractNumId w:val="46"/>
  </w:num>
  <w:num w:numId="16">
    <w:abstractNumId w:val="7"/>
  </w:num>
  <w:num w:numId="17">
    <w:abstractNumId w:val="26"/>
  </w:num>
  <w:num w:numId="18">
    <w:abstractNumId w:val="5"/>
  </w:num>
  <w:num w:numId="19">
    <w:abstractNumId w:val="42"/>
  </w:num>
  <w:num w:numId="20">
    <w:abstractNumId w:val="23"/>
  </w:num>
  <w:num w:numId="21">
    <w:abstractNumId w:val="27"/>
  </w:num>
  <w:num w:numId="22">
    <w:abstractNumId w:val="40"/>
  </w:num>
  <w:num w:numId="23">
    <w:abstractNumId w:val="20"/>
  </w:num>
  <w:num w:numId="24">
    <w:abstractNumId w:val="21"/>
  </w:num>
  <w:num w:numId="25">
    <w:abstractNumId w:val="38"/>
  </w:num>
  <w:num w:numId="26">
    <w:abstractNumId w:val="22"/>
  </w:num>
  <w:num w:numId="27">
    <w:abstractNumId w:val="33"/>
  </w:num>
  <w:num w:numId="28">
    <w:abstractNumId w:val="29"/>
  </w:num>
  <w:num w:numId="29">
    <w:abstractNumId w:val="47"/>
  </w:num>
  <w:num w:numId="30">
    <w:abstractNumId w:val="48"/>
  </w:num>
  <w:num w:numId="31">
    <w:abstractNumId w:val="9"/>
  </w:num>
  <w:num w:numId="32">
    <w:abstractNumId w:val="31"/>
  </w:num>
  <w:num w:numId="33">
    <w:abstractNumId w:val="15"/>
  </w:num>
  <w:num w:numId="34">
    <w:abstractNumId w:val="4"/>
  </w:num>
  <w:num w:numId="35">
    <w:abstractNumId w:val="25"/>
  </w:num>
  <w:num w:numId="36">
    <w:abstractNumId w:val="11"/>
  </w:num>
  <w:num w:numId="37">
    <w:abstractNumId w:val="34"/>
  </w:num>
  <w:num w:numId="38">
    <w:abstractNumId w:val="32"/>
  </w:num>
  <w:num w:numId="39">
    <w:abstractNumId w:val="6"/>
  </w:num>
  <w:num w:numId="40">
    <w:abstractNumId w:val="16"/>
  </w:num>
  <w:num w:numId="41">
    <w:abstractNumId w:val="44"/>
  </w:num>
  <w:num w:numId="42">
    <w:abstractNumId w:val="41"/>
  </w:num>
  <w:num w:numId="43">
    <w:abstractNumId w:val="39"/>
  </w:num>
  <w:num w:numId="44">
    <w:abstractNumId w:val="43"/>
  </w:num>
  <w:num w:numId="45">
    <w:abstractNumId w:val="18"/>
  </w:num>
  <w:num w:numId="46">
    <w:abstractNumId w:val="30"/>
  </w:num>
  <w:num w:numId="47">
    <w:abstractNumId w:val="36"/>
  </w:num>
  <w:num w:numId="48">
    <w:abstractNumId w:val="1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A9"/>
    <w:rsid w:val="0000157E"/>
    <w:rsid w:val="0000257D"/>
    <w:rsid w:val="000038FF"/>
    <w:rsid w:val="00004252"/>
    <w:rsid w:val="00005507"/>
    <w:rsid w:val="0000562F"/>
    <w:rsid w:val="00006217"/>
    <w:rsid w:val="00007339"/>
    <w:rsid w:val="00016A05"/>
    <w:rsid w:val="00020962"/>
    <w:rsid w:val="00023230"/>
    <w:rsid w:val="000241BB"/>
    <w:rsid w:val="0002470C"/>
    <w:rsid w:val="00030F68"/>
    <w:rsid w:val="0003463B"/>
    <w:rsid w:val="00035563"/>
    <w:rsid w:val="000355AA"/>
    <w:rsid w:val="00036CC4"/>
    <w:rsid w:val="0004308B"/>
    <w:rsid w:val="000468C3"/>
    <w:rsid w:val="000508C3"/>
    <w:rsid w:val="00050CF2"/>
    <w:rsid w:val="00051ED9"/>
    <w:rsid w:val="00053051"/>
    <w:rsid w:val="00053C2E"/>
    <w:rsid w:val="0005507F"/>
    <w:rsid w:val="0006013A"/>
    <w:rsid w:val="00061AA1"/>
    <w:rsid w:val="00062EB8"/>
    <w:rsid w:val="000655EA"/>
    <w:rsid w:val="0006569D"/>
    <w:rsid w:val="00065822"/>
    <w:rsid w:val="00067376"/>
    <w:rsid w:val="000677B1"/>
    <w:rsid w:val="00067C7B"/>
    <w:rsid w:val="00071E52"/>
    <w:rsid w:val="00073A38"/>
    <w:rsid w:val="00074852"/>
    <w:rsid w:val="00075F0B"/>
    <w:rsid w:val="00082956"/>
    <w:rsid w:val="000848F4"/>
    <w:rsid w:val="0009153E"/>
    <w:rsid w:val="00091EE5"/>
    <w:rsid w:val="0009214D"/>
    <w:rsid w:val="000925D4"/>
    <w:rsid w:val="00096E6F"/>
    <w:rsid w:val="000A31AD"/>
    <w:rsid w:val="000A34F4"/>
    <w:rsid w:val="000A4699"/>
    <w:rsid w:val="000A489F"/>
    <w:rsid w:val="000A6E0C"/>
    <w:rsid w:val="000B149A"/>
    <w:rsid w:val="000B1E95"/>
    <w:rsid w:val="000B2342"/>
    <w:rsid w:val="000C30B7"/>
    <w:rsid w:val="000D00C5"/>
    <w:rsid w:val="000D0EF6"/>
    <w:rsid w:val="000D4C40"/>
    <w:rsid w:val="000D792E"/>
    <w:rsid w:val="000E32EA"/>
    <w:rsid w:val="000E3387"/>
    <w:rsid w:val="000F301F"/>
    <w:rsid w:val="000F3C3B"/>
    <w:rsid w:val="000F66F1"/>
    <w:rsid w:val="00104B3D"/>
    <w:rsid w:val="001060FD"/>
    <w:rsid w:val="00107854"/>
    <w:rsid w:val="00116BBB"/>
    <w:rsid w:val="001178B9"/>
    <w:rsid w:val="00124BFD"/>
    <w:rsid w:val="00125A9E"/>
    <w:rsid w:val="00126BC9"/>
    <w:rsid w:val="00131C81"/>
    <w:rsid w:val="00134216"/>
    <w:rsid w:val="00137E20"/>
    <w:rsid w:val="00137F54"/>
    <w:rsid w:val="00141AF2"/>
    <w:rsid w:val="001431D7"/>
    <w:rsid w:val="001449CB"/>
    <w:rsid w:val="00147994"/>
    <w:rsid w:val="00153E67"/>
    <w:rsid w:val="00153FBC"/>
    <w:rsid w:val="00154063"/>
    <w:rsid w:val="001556A0"/>
    <w:rsid w:val="00155A1D"/>
    <w:rsid w:val="0016456C"/>
    <w:rsid w:val="0016676C"/>
    <w:rsid w:val="00167DE9"/>
    <w:rsid w:val="00172145"/>
    <w:rsid w:val="001738B8"/>
    <w:rsid w:val="00175152"/>
    <w:rsid w:val="00176BC2"/>
    <w:rsid w:val="00177AB3"/>
    <w:rsid w:val="00177DA7"/>
    <w:rsid w:val="00182897"/>
    <w:rsid w:val="001830FD"/>
    <w:rsid w:val="001840E9"/>
    <w:rsid w:val="001866D1"/>
    <w:rsid w:val="0019098C"/>
    <w:rsid w:val="00192726"/>
    <w:rsid w:val="0019348C"/>
    <w:rsid w:val="00194272"/>
    <w:rsid w:val="00196258"/>
    <w:rsid w:val="00196795"/>
    <w:rsid w:val="001A59A5"/>
    <w:rsid w:val="001B07AE"/>
    <w:rsid w:val="001B1B7D"/>
    <w:rsid w:val="001B25D8"/>
    <w:rsid w:val="001B2DA6"/>
    <w:rsid w:val="001B4CB1"/>
    <w:rsid w:val="001B4F21"/>
    <w:rsid w:val="001B5004"/>
    <w:rsid w:val="001B737F"/>
    <w:rsid w:val="001C29F6"/>
    <w:rsid w:val="001C2D62"/>
    <w:rsid w:val="001C3C1F"/>
    <w:rsid w:val="001D3107"/>
    <w:rsid w:val="001D33B8"/>
    <w:rsid w:val="001D3B44"/>
    <w:rsid w:val="001D6C13"/>
    <w:rsid w:val="001E05F4"/>
    <w:rsid w:val="001E1BBB"/>
    <w:rsid w:val="001E3270"/>
    <w:rsid w:val="001E58A7"/>
    <w:rsid w:val="001E6545"/>
    <w:rsid w:val="001F3CA4"/>
    <w:rsid w:val="001F47F5"/>
    <w:rsid w:val="001F5097"/>
    <w:rsid w:val="001F5AF7"/>
    <w:rsid w:val="00202C6E"/>
    <w:rsid w:val="00204AA5"/>
    <w:rsid w:val="00212981"/>
    <w:rsid w:val="00214472"/>
    <w:rsid w:val="00217B45"/>
    <w:rsid w:val="00220AFF"/>
    <w:rsid w:val="002210FE"/>
    <w:rsid w:val="00221CDC"/>
    <w:rsid w:val="00223DBD"/>
    <w:rsid w:val="002241D5"/>
    <w:rsid w:val="00224E4A"/>
    <w:rsid w:val="00225284"/>
    <w:rsid w:val="002274C4"/>
    <w:rsid w:val="00232307"/>
    <w:rsid w:val="0023355A"/>
    <w:rsid w:val="0023361B"/>
    <w:rsid w:val="00245BDA"/>
    <w:rsid w:val="0024750A"/>
    <w:rsid w:val="0025040D"/>
    <w:rsid w:val="00251D8E"/>
    <w:rsid w:val="0025457A"/>
    <w:rsid w:val="00254803"/>
    <w:rsid w:val="00255D49"/>
    <w:rsid w:val="002615BD"/>
    <w:rsid w:val="002629DC"/>
    <w:rsid w:val="00266103"/>
    <w:rsid w:val="00270C5A"/>
    <w:rsid w:val="00273F7D"/>
    <w:rsid w:val="0027438C"/>
    <w:rsid w:val="00274CEB"/>
    <w:rsid w:val="00275013"/>
    <w:rsid w:val="00276DE0"/>
    <w:rsid w:val="00277B7B"/>
    <w:rsid w:val="00277BBE"/>
    <w:rsid w:val="0028338F"/>
    <w:rsid w:val="002850B3"/>
    <w:rsid w:val="002852D1"/>
    <w:rsid w:val="00287888"/>
    <w:rsid w:val="00290264"/>
    <w:rsid w:val="00293930"/>
    <w:rsid w:val="00295CE1"/>
    <w:rsid w:val="002A2F56"/>
    <w:rsid w:val="002A535D"/>
    <w:rsid w:val="002B3C24"/>
    <w:rsid w:val="002B3E10"/>
    <w:rsid w:val="002B76F5"/>
    <w:rsid w:val="002B7ADA"/>
    <w:rsid w:val="002B7BB7"/>
    <w:rsid w:val="002C11FB"/>
    <w:rsid w:val="002C5396"/>
    <w:rsid w:val="002C6743"/>
    <w:rsid w:val="002C6A2D"/>
    <w:rsid w:val="002C7733"/>
    <w:rsid w:val="002D38CF"/>
    <w:rsid w:val="002D6DA4"/>
    <w:rsid w:val="002E0DBC"/>
    <w:rsid w:val="002E2EA2"/>
    <w:rsid w:val="002E559B"/>
    <w:rsid w:val="002E5FCE"/>
    <w:rsid w:val="002F6E59"/>
    <w:rsid w:val="003018D6"/>
    <w:rsid w:val="003033DB"/>
    <w:rsid w:val="00304ABC"/>
    <w:rsid w:val="00304DBD"/>
    <w:rsid w:val="003206BC"/>
    <w:rsid w:val="00323924"/>
    <w:rsid w:val="00326773"/>
    <w:rsid w:val="00326807"/>
    <w:rsid w:val="0032957E"/>
    <w:rsid w:val="003311C5"/>
    <w:rsid w:val="003423CD"/>
    <w:rsid w:val="00344AB1"/>
    <w:rsid w:val="00351012"/>
    <w:rsid w:val="00353E8F"/>
    <w:rsid w:val="0035418A"/>
    <w:rsid w:val="00364B9B"/>
    <w:rsid w:val="00365C96"/>
    <w:rsid w:val="003666E0"/>
    <w:rsid w:val="00366831"/>
    <w:rsid w:val="003711D9"/>
    <w:rsid w:val="00371326"/>
    <w:rsid w:val="00371500"/>
    <w:rsid w:val="003735C3"/>
    <w:rsid w:val="00373B88"/>
    <w:rsid w:val="00373D23"/>
    <w:rsid w:val="00381EA1"/>
    <w:rsid w:val="00383E8D"/>
    <w:rsid w:val="00385C93"/>
    <w:rsid w:val="00392CED"/>
    <w:rsid w:val="00393D2D"/>
    <w:rsid w:val="0039538A"/>
    <w:rsid w:val="003A4858"/>
    <w:rsid w:val="003B194A"/>
    <w:rsid w:val="003B1C14"/>
    <w:rsid w:val="003B304C"/>
    <w:rsid w:val="003B3AF1"/>
    <w:rsid w:val="003B3F1D"/>
    <w:rsid w:val="003B4036"/>
    <w:rsid w:val="003B40DA"/>
    <w:rsid w:val="003C2288"/>
    <w:rsid w:val="003C2A4B"/>
    <w:rsid w:val="003C39F8"/>
    <w:rsid w:val="003C61A0"/>
    <w:rsid w:val="003C6CF4"/>
    <w:rsid w:val="003D0A50"/>
    <w:rsid w:val="003D3291"/>
    <w:rsid w:val="003D3369"/>
    <w:rsid w:val="003D6A82"/>
    <w:rsid w:val="003E5C10"/>
    <w:rsid w:val="003E74CE"/>
    <w:rsid w:val="003F0773"/>
    <w:rsid w:val="003F1624"/>
    <w:rsid w:val="003F290F"/>
    <w:rsid w:val="003F5431"/>
    <w:rsid w:val="003F7AF0"/>
    <w:rsid w:val="0040411D"/>
    <w:rsid w:val="00412DAD"/>
    <w:rsid w:val="00413DA7"/>
    <w:rsid w:val="004255D4"/>
    <w:rsid w:val="00430096"/>
    <w:rsid w:val="00430FA2"/>
    <w:rsid w:val="00431EED"/>
    <w:rsid w:val="004337DA"/>
    <w:rsid w:val="004347CC"/>
    <w:rsid w:val="004348F9"/>
    <w:rsid w:val="00437966"/>
    <w:rsid w:val="00437A8F"/>
    <w:rsid w:val="004408F7"/>
    <w:rsid w:val="0044618D"/>
    <w:rsid w:val="00453590"/>
    <w:rsid w:val="00461685"/>
    <w:rsid w:val="00462FDA"/>
    <w:rsid w:val="004641F9"/>
    <w:rsid w:val="004652C2"/>
    <w:rsid w:val="00466789"/>
    <w:rsid w:val="00466C5A"/>
    <w:rsid w:val="00470CD0"/>
    <w:rsid w:val="004744C0"/>
    <w:rsid w:val="004761E4"/>
    <w:rsid w:val="004800FB"/>
    <w:rsid w:val="00480B4A"/>
    <w:rsid w:val="00485F4C"/>
    <w:rsid w:val="0049036F"/>
    <w:rsid w:val="00494688"/>
    <w:rsid w:val="004A0622"/>
    <w:rsid w:val="004A2597"/>
    <w:rsid w:val="004A6961"/>
    <w:rsid w:val="004B12D5"/>
    <w:rsid w:val="004B35B6"/>
    <w:rsid w:val="004B7753"/>
    <w:rsid w:val="004C0578"/>
    <w:rsid w:val="004C20CE"/>
    <w:rsid w:val="004C3A2D"/>
    <w:rsid w:val="004C3ECB"/>
    <w:rsid w:val="004C43A6"/>
    <w:rsid w:val="004D43BB"/>
    <w:rsid w:val="004D4EB4"/>
    <w:rsid w:val="004D5B99"/>
    <w:rsid w:val="004D716A"/>
    <w:rsid w:val="004E01EA"/>
    <w:rsid w:val="004E39BD"/>
    <w:rsid w:val="004E3A08"/>
    <w:rsid w:val="004F02DC"/>
    <w:rsid w:val="004F0BB6"/>
    <w:rsid w:val="004F3026"/>
    <w:rsid w:val="004F4199"/>
    <w:rsid w:val="00504944"/>
    <w:rsid w:val="00511CBC"/>
    <w:rsid w:val="00512DD4"/>
    <w:rsid w:val="005136E3"/>
    <w:rsid w:val="0051441E"/>
    <w:rsid w:val="00514ED5"/>
    <w:rsid w:val="005151D1"/>
    <w:rsid w:val="00516BFB"/>
    <w:rsid w:val="00517218"/>
    <w:rsid w:val="005209C2"/>
    <w:rsid w:val="0052100B"/>
    <w:rsid w:val="005216DC"/>
    <w:rsid w:val="00523BD1"/>
    <w:rsid w:val="00524E43"/>
    <w:rsid w:val="005258B3"/>
    <w:rsid w:val="005273BC"/>
    <w:rsid w:val="005306A4"/>
    <w:rsid w:val="0053262C"/>
    <w:rsid w:val="005348F7"/>
    <w:rsid w:val="00536434"/>
    <w:rsid w:val="005366C5"/>
    <w:rsid w:val="00540CA5"/>
    <w:rsid w:val="00540D84"/>
    <w:rsid w:val="005504C4"/>
    <w:rsid w:val="00553029"/>
    <w:rsid w:val="00555284"/>
    <w:rsid w:val="0055676C"/>
    <w:rsid w:val="005602AD"/>
    <w:rsid w:val="00561339"/>
    <w:rsid w:val="005618DD"/>
    <w:rsid w:val="005660B5"/>
    <w:rsid w:val="005666CC"/>
    <w:rsid w:val="00566B2C"/>
    <w:rsid w:val="00570A0F"/>
    <w:rsid w:val="00570C59"/>
    <w:rsid w:val="00574C6B"/>
    <w:rsid w:val="00577470"/>
    <w:rsid w:val="00577A52"/>
    <w:rsid w:val="00580140"/>
    <w:rsid w:val="0058456B"/>
    <w:rsid w:val="00584BAF"/>
    <w:rsid w:val="0058609A"/>
    <w:rsid w:val="0059048C"/>
    <w:rsid w:val="00590E30"/>
    <w:rsid w:val="00593F9D"/>
    <w:rsid w:val="00594280"/>
    <w:rsid w:val="005A0026"/>
    <w:rsid w:val="005A440B"/>
    <w:rsid w:val="005A5EEA"/>
    <w:rsid w:val="005A6402"/>
    <w:rsid w:val="005B60E7"/>
    <w:rsid w:val="005C0197"/>
    <w:rsid w:val="005C1B9A"/>
    <w:rsid w:val="005C4D21"/>
    <w:rsid w:val="005C7196"/>
    <w:rsid w:val="005C774F"/>
    <w:rsid w:val="005D120A"/>
    <w:rsid w:val="005D5F37"/>
    <w:rsid w:val="005D6CCA"/>
    <w:rsid w:val="005E00A6"/>
    <w:rsid w:val="005F1D0D"/>
    <w:rsid w:val="005F218A"/>
    <w:rsid w:val="005F30D1"/>
    <w:rsid w:val="005F3AA4"/>
    <w:rsid w:val="005F40B5"/>
    <w:rsid w:val="005F4661"/>
    <w:rsid w:val="005F6564"/>
    <w:rsid w:val="005F6D01"/>
    <w:rsid w:val="005F7EE0"/>
    <w:rsid w:val="006001D4"/>
    <w:rsid w:val="0060046A"/>
    <w:rsid w:val="00600EE4"/>
    <w:rsid w:val="00602E4E"/>
    <w:rsid w:val="0060476C"/>
    <w:rsid w:val="00605356"/>
    <w:rsid w:val="0061112D"/>
    <w:rsid w:val="006119D2"/>
    <w:rsid w:val="00611C9F"/>
    <w:rsid w:val="00612196"/>
    <w:rsid w:val="006168D6"/>
    <w:rsid w:val="00617C22"/>
    <w:rsid w:val="006304E6"/>
    <w:rsid w:val="0063050E"/>
    <w:rsid w:val="00631B20"/>
    <w:rsid w:val="006334A1"/>
    <w:rsid w:val="00633F5B"/>
    <w:rsid w:val="00634290"/>
    <w:rsid w:val="00636646"/>
    <w:rsid w:val="0063692F"/>
    <w:rsid w:val="006369B2"/>
    <w:rsid w:val="00640A69"/>
    <w:rsid w:val="00640E48"/>
    <w:rsid w:val="00642E54"/>
    <w:rsid w:val="006433A8"/>
    <w:rsid w:val="006455DB"/>
    <w:rsid w:val="00645BF2"/>
    <w:rsid w:val="00646B4E"/>
    <w:rsid w:val="00646ECF"/>
    <w:rsid w:val="00652C2C"/>
    <w:rsid w:val="006555B6"/>
    <w:rsid w:val="006574A1"/>
    <w:rsid w:val="00673192"/>
    <w:rsid w:val="00673F2A"/>
    <w:rsid w:val="00674BB2"/>
    <w:rsid w:val="00674DA5"/>
    <w:rsid w:val="0068097F"/>
    <w:rsid w:val="006813C0"/>
    <w:rsid w:val="006828A7"/>
    <w:rsid w:val="0068465F"/>
    <w:rsid w:val="00685C7E"/>
    <w:rsid w:val="00686050"/>
    <w:rsid w:val="00686926"/>
    <w:rsid w:val="006918E7"/>
    <w:rsid w:val="00691F4C"/>
    <w:rsid w:val="00693F53"/>
    <w:rsid w:val="00697514"/>
    <w:rsid w:val="006B0B6E"/>
    <w:rsid w:val="006B0CF1"/>
    <w:rsid w:val="006B1B71"/>
    <w:rsid w:val="006B1C52"/>
    <w:rsid w:val="006B518E"/>
    <w:rsid w:val="006B5AF7"/>
    <w:rsid w:val="006B5B13"/>
    <w:rsid w:val="006B68F2"/>
    <w:rsid w:val="006B7A9B"/>
    <w:rsid w:val="006D709F"/>
    <w:rsid w:val="006E2493"/>
    <w:rsid w:val="006E3891"/>
    <w:rsid w:val="006F0AE4"/>
    <w:rsid w:val="006F2A36"/>
    <w:rsid w:val="006F5BB6"/>
    <w:rsid w:val="007002F8"/>
    <w:rsid w:val="00700A24"/>
    <w:rsid w:val="00700CEA"/>
    <w:rsid w:val="0070496C"/>
    <w:rsid w:val="00704B92"/>
    <w:rsid w:val="00706643"/>
    <w:rsid w:val="00707DC8"/>
    <w:rsid w:val="007133C0"/>
    <w:rsid w:val="00715E15"/>
    <w:rsid w:val="0072180B"/>
    <w:rsid w:val="00722369"/>
    <w:rsid w:val="007247E4"/>
    <w:rsid w:val="00726A8E"/>
    <w:rsid w:val="0072787F"/>
    <w:rsid w:val="0073177C"/>
    <w:rsid w:val="0073180A"/>
    <w:rsid w:val="00732B4A"/>
    <w:rsid w:val="007335FF"/>
    <w:rsid w:val="007364D3"/>
    <w:rsid w:val="00742980"/>
    <w:rsid w:val="00747315"/>
    <w:rsid w:val="00747758"/>
    <w:rsid w:val="00750EF1"/>
    <w:rsid w:val="00752F3A"/>
    <w:rsid w:val="00757BA8"/>
    <w:rsid w:val="0076042C"/>
    <w:rsid w:val="0076609D"/>
    <w:rsid w:val="007663D8"/>
    <w:rsid w:val="007669AB"/>
    <w:rsid w:val="00775A7A"/>
    <w:rsid w:val="00780323"/>
    <w:rsid w:val="00781DD2"/>
    <w:rsid w:val="00783D8F"/>
    <w:rsid w:val="0079057C"/>
    <w:rsid w:val="007907B2"/>
    <w:rsid w:val="00790C53"/>
    <w:rsid w:val="00791FAD"/>
    <w:rsid w:val="007937FB"/>
    <w:rsid w:val="00794E3D"/>
    <w:rsid w:val="00795276"/>
    <w:rsid w:val="007A2B35"/>
    <w:rsid w:val="007A34DB"/>
    <w:rsid w:val="007B1ED1"/>
    <w:rsid w:val="007B486E"/>
    <w:rsid w:val="007B6AC0"/>
    <w:rsid w:val="007B70FC"/>
    <w:rsid w:val="007C438C"/>
    <w:rsid w:val="007C4E81"/>
    <w:rsid w:val="007C5518"/>
    <w:rsid w:val="007C7373"/>
    <w:rsid w:val="007D1064"/>
    <w:rsid w:val="007D2699"/>
    <w:rsid w:val="007D323E"/>
    <w:rsid w:val="007D7723"/>
    <w:rsid w:val="007E1552"/>
    <w:rsid w:val="007E4E2E"/>
    <w:rsid w:val="007E62AD"/>
    <w:rsid w:val="007F22AA"/>
    <w:rsid w:val="007F5D9E"/>
    <w:rsid w:val="0080039A"/>
    <w:rsid w:val="00800A9F"/>
    <w:rsid w:val="00802F86"/>
    <w:rsid w:val="00811326"/>
    <w:rsid w:val="00812A9D"/>
    <w:rsid w:val="00812DDC"/>
    <w:rsid w:val="00813F5D"/>
    <w:rsid w:val="00820DAE"/>
    <w:rsid w:val="00822A1A"/>
    <w:rsid w:val="00824404"/>
    <w:rsid w:val="0082581D"/>
    <w:rsid w:val="00825F1D"/>
    <w:rsid w:val="008301D4"/>
    <w:rsid w:val="0083594C"/>
    <w:rsid w:val="008366F5"/>
    <w:rsid w:val="00837914"/>
    <w:rsid w:val="00837A57"/>
    <w:rsid w:val="00841601"/>
    <w:rsid w:val="00841E65"/>
    <w:rsid w:val="00845D99"/>
    <w:rsid w:val="00846B94"/>
    <w:rsid w:val="008519ED"/>
    <w:rsid w:val="00851CC7"/>
    <w:rsid w:val="00851ECA"/>
    <w:rsid w:val="00853E06"/>
    <w:rsid w:val="0085547B"/>
    <w:rsid w:val="008555A3"/>
    <w:rsid w:val="0085672C"/>
    <w:rsid w:val="00857CF4"/>
    <w:rsid w:val="00865CC5"/>
    <w:rsid w:val="00873232"/>
    <w:rsid w:val="00873872"/>
    <w:rsid w:val="0087600A"/>
    <w:rsid w:val="008775E5"/>
    <w:rsid w:val="00877ADB"/>
    <w:rsid w:val="008803DF"/>
    <w:rsid w:val="00880F93"/>
    <w:rsid w:val="00880FBB"/>
    <w:rsid w:val="00886AC9"/>
    <w:rsid w:val="00887497"/>
    <w:rsid w:val="00893021"/>
    <w:rsid w:val="00894977"/>
    <w:rsid w:val="00896AA9"/>
    <w:rsid w:val="00897321"/>
    <w:rsid w:val="00897B10"/>
    <w:rsid w:val="008A124B"/>
    <w:rsid w:val="008A3FE0"/>
    <w:rsid w:val="008A46F0"/>
    <w:rsid w:val="008A475C"/>
    <w:rsid w:val="008A4EB9"/>
    <w:rsid w:val="008A56A8"/>
    <w:rsid w:val="008B57C0"/>
    <w:rsid w:val="008B72E8"/>
    <w:rsid w:val="008C1DC3"/>
    <w:rsid w:val="008C6872"/>
    <w:rsid w:val="008C7CDD"/>
    <w:rsid w:val="008C9CE3"/>
    <w:rsid w:val="008E1EBB"/>
    <w:rsid w:val="008E254A"/>
    <w:rsid w:val="008E298C"/>
    <w:rsid w:val="008E2C84"/>
    <w:rsid w:val="008E5235"/>
    <w:rsid w:val="008E5AC0"/>
    <w:rsid w:val="008F11F9"/>
    <w:rsid w:val="008F2BE6"/>
    <w:rsid w:val="008F3AEA"/>
    <w:rsid w:val="008F4046"/>
    <w:rsid w:val="008F404B"/>
    <w:rsid w:val="008F4676"/>
    <w:rsid w:val="008F521A"/>
    <w:rsid w:val="008F6A60"/>
    <w:rsid w:val="00902944"/>
    <w:rsid w:val="00903C3C"/>
    <w:rsid w:val="009102F8"/>
    <w:rsid w:val="00911BBD"/>
    <w:rsid w:val="00912CC2"/>
    <w:rsid w:val="00915B05"/>
    <w:rsid w:val="00917AD0"/>
    <w:rsid w:val="009200B5"/>
    <w:rsid w:val="00925587"/>
    <w:rsid w:val="00926FE2"/>
    <w:rsid w:val="00927341"/>
    <w:rsid w:val="00927F44"/>
    <w:rsid w:val="009311CB"/>
    <w:rsid w:val="009326EF"/>
    <w:rsid w:val="00932ACF"/>
    <w:rsid w:val="00933389"/>
    <w:rsid w:val="00936A69"/>
    <w:rsid w:val="00937EDA"/>
    <w:rsid w:val="00942375"/>
    <w:rsid w:val="00944DAF"/>
    <w:rsid w:val="00945187"/>
    <w:rsid w:val="009462E8"/>
    <w:rsid w:val="0095084A"/>
    <w:rsid w:val="0095777C"/>
    <w:rsid w:val="009608A6"/>
    <w:rsid w:val="009671FC"/>
    <w:rsid w:val="009678EC"/>
    <w:rsid w:val="00967C45"/>
    <w:rsid w:val="0097388B"/>
    <w:rsid w:val="00975B4F"/>
    <w:rsid w:val="009765F6"/>
    <w:rsid w:val="009809CB"/>
    <w:rsid w:val="00984543"/>
    <w:rsid w:val="009856D7"/>
    <w:rsid w:val="00985AF7"/>
    <w:rsid w:val="00986C33"/>
    <w:rsid w:val="00987794"/>
    <w:rsid w:val="00991C8E"/>
    <w:rsid w:val="00991D79"/>
    <w:rsid w:val="00996917"/>
    <w:rsid w:val="00997D80"/>
    <w:rsid w:val="009A46DC"/>
    <w:rsid w:val="009A74FC"/>
    <w:rsid w:val="009B0FCC"/>
    <w:rsid w:val="009B0FDA"/>
    <w:rsid w:val="009B1F20"/>
    <w:rsid w:val="009B4FAB"/>
    <w:rsid w:val="009B5939"/>
    <w:rsid w:val="009B7B93"/>
    <w:rsid w:val="009C146F"/>
    <w:rsid w:val="009C1F32"/>
    <w:rsid w:val="009C320C"/>
    <w:rsid w:val="009C373F"/>
    <w:rsid w:val="009C6843"/>
    <w:rsid w:val="009C70EA"/>
    <w:rsid w:val="009C71A9"/>
    <w:rsid w:val="009D1819"/>
    <w:rsid w:val="009D6787"/>
    <w:rsid w:val="009D6AF0"/>
    <w:rsid w:val="009E055C"/>
    <w:rsid w:val="009E5276"/>
    <w:rsid w:val="009F3187"/>
    <w:rsid w:val="009F4F89"/>
    <w:rsid w:val="009F6124"/>
    <w:rsid w:val="00A00829"/>
    <w:rsid w:val="00A030A4"/>
    <w:rsid w:val="00A0351F"/>
    <w:rsid w:val="00A05561"/>
    <w:rsid w:val="00A05714"/>
    <w:rsid w:val="00A0658F"/>
    <w:rsid w:val="00A06921"/>
    <w:rsid w:val="00A06D27"/>
    <w:rsid w:val="00A0742A"/>
    <w:rsid w:val="00A13207"/>
    <w:rsid w:val="00A16E18"/>
    <w:rsid w:val="00A16E3B"/>
    <w:rsid w:val="00A1703A"/>
    <w:rsid w:val="00A229CF"/>
    <w:rsid w:val="00A27476"/>
    <w:rsid w:val="00A346C0"/>
    <w:rsid w:val="00A34DB2"/>
    <w:rsid w:val="00A36EB5"/>
    <w:rsid w:val="00A37430"/>
    <w:rsid w:val="00A416D2"/>
    <w:rsid w:val="00A43741"/>
    <w:rsid w:val="00A4766B"/>
    <w:rsid w:val="00A5103B"/>
    <w:rsid w:val="00A52E69"/>
    <w:rsid w:val="00A56182"/>
    <w:rsid w:val="00A57D34"/>
    <w:rsid w:val="00A62337"/>
    <w:rsid w:val="00A62B32"/>
    <w:rsid w:val="00A6633F"/>
    <w:rsid w:val="00A67337"/>
    <w:rsid w:val="00A70085"/>
    <w:rsid w:val="00A71499"/>
    <w:rsid w:val="00A716B4"/>
    <w:rsid w:val="00A7316A"/>
    <w:rsid w:val="00A75532"/>
    <w:rsid w:val="00A77D05"/>
    <w:rsid w:val="00A80D15"/>
    <w:rsid w:val="00A84B58"/>
    <w:rsid w:val="00A86F1E"/>
    <w:rsid w:val="00A8795E"/>
    <w:rsid w:val="00A9267F"/>
    <w:rsid w:val="00A93B9E"/>
    <w:rsid w:val="00A95DA0"/>
    <w:rsid w:val="00AA00E6"/>
    <w:rsid w:val="00AA5244"/>
    <w:rsid w:val="00AA61D0"/>
    <w:rsid w:val="00AB2F10"/>
    <w:rsid w:val="00AB51C1"/>
    <w:rsid w:val="00AB5A76"/>
    <w:rsid w:val="00AC4573"/>
    <w:rsid w:val="00AC5EAD"/>
    <w:rsid w:val="00AC6D63"/>
    <w:rsid w:val="00AC6E9C"/>
    <w:rsid w:val="00AC6F22"/>
    <w:rsid w:val="00AC71DF"/>
    <w:rsid w:val="00AD05F6"/>
    <w:rsid w:val="00AE319D"/>
    <w:rsid w:val="00AE63A6"/>
    <w:rsid w:val="00AE6E22"/>
    <w:rsid w:val="00AF517A"/>
    <w:rsid w:val="00B021B7"/>
    <w:rsid w:val="00B04B54"/>
    <w:rsid w:val="00B05A50"/>
    <w:rsid w:val="00B07FBA"/>
    <w:rsid w:val="00B10040"/>
    <w:rsid w:val="00B113B9"/>
    <w:rsid w:val="00B11F4F"/>
    <w:rsid w:val="00B13034"/>
    <w:rsid w:val="00B16505"/>
    <w:rsid w:val="00B17A75"/>
    <w:rsid w:val="00B236AE"/>
    <w:rsid w:val="00B2447B"/>
    <w:rsid w:val="00B308F2"/>
    <w:rsid w:val="00B32620"/>
    <w:rsid w:val="00B34468"/>
    <w:rsid w:val="00B3709E"/>
    <w:rsid w:val="00B372DE"/>
    <w:rsid w:val="00B40A5D"/>
    <w:rsid w:val="00B413D9"/>
    <w:rsid w:val="00B4219A"/>
    <w:rsid w:val="00B4591A"/>
    <w:rsid w:val="00B4789C"/>
    <w:rsid w:val="00B47F7D"/>
    <w:rsid w:val="00B5175C"/>
    <w:rsid w:val="00B529B0"/>
    <w:rsid w:val="00B60D4A"/>
    <w:rsid w:val="00B61951"/>
    <w:rsid w:val="00B62718"/>
    <w:rsid w:val="00B648E5"/>
    <w:rsid w:val="00B661C5"/>
    <w:rsid w:val="00B66967"/>
    <w:rsid w:val="00B71B15"/>
    <w:rsid w:val="00B7261E"/>
    <w:rsid w:val="00B73075"/>
    <w:rsid w:val="00B7611E"/>
    <w:rsid w:val="00B7613D"/>
    <w:rsid w:val="00B77A39"/>
    <w:rsid w:val="00B817B3"/>
    <w:rsid w:val="00B82A3A"/>
    <w:rsid w:val="00B830D4"/>
    <w:rsid w:val="00B8335B"/>
    <w:rsid w:val="00B87F4A"/>
    <w:rsid w:val="00B919DD"/>
    <w:rsid w:val="00B930C8"/>
    <w:rsid w:val="00B93114"/>
    <w:rsid w:val="00B94B28"/>
    <w:rsid w:val="00B95398"/>
    <w:rsid w:val="00B9733E"/>
    <w:rsid w:val="00BA0021"/>
    <w:rsid w:val="00BA19D2"/>
    <w:rsid w:val="00BA22BF"/>
    <w:rsid w:val="00BA3F84"/>
    <w:rsid w:val="00BA4EEE"/>
    <w:rsid w:val="00BB0695"/>
    <w:rsid w:val="00BB34FF"/>
    <w:rsid w:val="00BB436B"/>
    <w:rsid w:val="00BC0A1B"/>
    <w:rsid w:val="00BC4BFA"/>
    <w:rsid w:val="00BD2DF6"/>
    <w:rsid w:val="00BD6DAE"/>
    <w:rsid w:val="00BE1DF1"/>
    <w:rsid w:val="00BE76A9"/>
    <w:rsid w:val="00BF2E66"/>
    <w:rsid w:val="00BF4A68"/>
    <w:rsid w:val="00BF6095"/>
    <w:rsid w:val="00C03311"/>
    <w:rsid w:val="00C04CFB"/>
    <w:rsid w:val="00C04D5D"/>
    <w:rsid w:val="00C10345"/>
    <w:rsid w:val="00C10B8E"/>
    <w:rsid w:val="00C10F2C"/>
    <w:rsid w:val="00C11EA0"/>
    <w:rsid w:val="00C17EA2"/>
    <w:rsid w:val="00C22567"/>
    <w:rsid w:val="00C22967"/>
    <w:rsid w:val="00C22BD9"/>
    <w:rsid w:val="00C22F2F"/>
    <w:rsid w:val="00C25BD6"/>
    <w:rsid w:val="00C25D36"/>
    <w:rsid w:val="00C32279"/>
    <w:rsid w:val="00C33DEE"/>
    <w:rsid w:val="00C35CFB"/>
    <w:rsid w:val="00C41D0E"/>
    <w:rsid w:val="00C466AC"/>
    <w:rsid w:val="00C46915"/>
    <w:rsid w:val="00C523D8"/>
    <w:rsid w:val="00C52C90"/>
    <w:rsid w:val="00C54497"/>
    <w:rsid w:val="00C546EB"/>
    <w:rsid w:val="00C5555D"/>
    <w:rsid w:val="00C55CEE"/>
    <w:rsid w:val="00C561B0"/>
    <w:rsid w:val="00C6062D"/>
    <w:rsid w:val="00C611BD"/>
    <w:rsid w:val="00C6609E"/>
    <w:rsid w:val="00C7094B"/>
    <w:rsid w:val="00C70EE3"/>
    <w:rsid w:val="00C716A3"/>
    <w:rsid w:val="00C7203C"/>
    <w:rsid w:val="00C72346"/>
    <w:rsid w:val="00C727E8"/>
    <w:rsid w:val="00C757DE"/>
    <w:rsid w:val="00C75F1E"/>
    <w:rsid w:val="00C76083"/>
    <w:rsid w:val="00C77559"/>
    <w:rsid w:val="00C82D1E"/>
    <w:rsid w:val="00C8344B"/>
    <w:rsid w:val="00C84F82"/>
    <w:rsid w:val="00C92BFE"/>
    <w:rsid w:val="00C92FFD"/>
    <w:rsid w:val="00C9372E"/>
    <w:rsid w:val="00C941FB"/>
    <w:rsid w:val="00C95D6A"/>
    <w:rsid w:val="00C968CE"/>
    <w:rsid w:val="00CA2360"/>
    <w:rsid w:val="00CA58B0"/>
    <w:rsid w:val="00CA7238"/>
    <w:rsid w:val="00CB0764"/>
    <w:rsid w:val="00CB100F"/>
    <w:rsid w:val="00CB3E97"/>
    <w:rsid w:val="00CB6C1F"/>
    <w:rsid w:val="00CC20BA"/>
    <w:rsid w:val="00CC4E30"/>
    <w:rsid w:val="00CC57CE"/>
    <w:rsid w:val="00CC738D"/>
    <w:rsid w:val="00CD1653"/>
    <w:rsid w:val="00CD38C1"/>
    <w:rsid w:val="00CD45FF"/>
    <w:rsid w:val="00CD4838"/>
    <w:rsid w:val="00CD6059"/>
    <w:rsid w:val="00CD6C07"/>
    <w:rsid w:val="00CE072F"/>
    <w:rsid w:val="00CE0D04"/>
    <w:rsid w:val="00CE27D1"/>
    <w:rsid w:val="00CE366C"/>
    <w:rsid w:val="00CE6622"/>
    <w:rsid w:val="00CE7F9D"/>
    <w:rsid w:val="00CF0E62"/>
    <w:rsid w:val="00CF1053"/>
    <w:rsid w:val="00CF2819"/>
    <w:rsid w:val="00CF2B20"/>
    <w:rsid w:val="00CF3964"/>
    <w:rsid w:val="00CF4A1F"/>
    <w:rsid w:val="00CF5420"/>
    <w:rsid w:val="00D00E89"/>
    <w:rsid w:val="00D040D1"/>
    <w:rsid w:val="00D05DD1"/>
    <w:rsid w:val="00D0758F"/>
    <w:rsid w:val="00D1200B"/>
    <w:rsid w:val="00D123B8"/>
    <w:rsid w:val="00D1526C"/>
    <w:rsid w:val="00D17749"/>
    <w:rsid w:val="00D17C06"/>
    <w:rsid w:val="00D21E20"/>
    <w:rsid w:val="00D2386D"/>
    <w:rsid w:val="00D23E4C"/>
    <w:rsid w:val="00D27BEC"/>
    <w:rsid w:val="00D31448"/>
    <w:rsid w:val="00D323F5"/>
    <w:rsid w:val="00D333F0"/>
    <w:rsid w:val="00D338AC"/>
    <w:rsid w:val="00D34017"/>
    <w:rsid w:val="00D341FD"/>
    <w:rsid w:val="00D42D4C"/>
    <w:rsid w:val="00D44B48"/>
    <w:rsid w:val="00D548D4"/>
    <w:rsid w:val="00D568A3"/>
    <w:rsid w:val="00D57334"/>
    <w:rsid w:val="00D57B48"/>
    <w:rsid w:val="00D60C81"/>
    <w:rsid w:val="00D643D4"/>
    <w:rsid w:val="00D64BEE"/>
    <w:rsid w:val="00D65697"/>
    <w:rsid w:val="00D71F79"/>
    <w:rsid w:val="00D72B7D"/>
    <w:rsid w:val="00D83806"/>
    <w:rsid w:val="00D8431E"/>
    <w:rsid w:val="00D85D87"/>
    <w:rsid w:val="00D86918"/>
    <w:rsid w:val="00D908F5"/>
    <w:rsid w:val="00D909F3"/>
    <w:rsid w:val="00D9158C"/>
    <w:rsid w:val="00D921B1"/>
    <w:rsid w:val="00D948EE"/>
    <w:rsid w:val="00D96503"/>
    <w:rsid w:val="00D9668F"/>
    <w:rsid w:val="00D977A4"/>
    <w:rsid w:val="00D97896"/>
    <w:rsid w:val="00DA07C8"/>
    <w:rsid w:val="00DA5663"/>
    <w:rsid w:val="00DA6054"/>
    <w:rsid w:val="00DB1400"/>
    <w:rsid w:val="00DB3D76"/>
    <w:rsid w:val="00DB5BD1"/>
    <w:rsid w:val="00DB65F9"/>
    <w:rsid w:val="00DB67E6"/>
    <w:rsid w:val="00DB697D"/>
    <w:rsid w:val="00DC23AD"/>
    <w:rsid w:val="00DC4973"/>
    <w:rsid w:val="00DC62F4"/>
    <w:rsid w:val="00DD0631"/>
    <w:rsid w:val="00DD0B90"/>
    <w:rsid w:val="00DD25BE"/>
    <w:rsid w:val="00DE0C20"/>
    <w:rsid w:val="00DE3D09"/>
    <w:rsid w:val="00DE7500"/>
    <w:rsid w:val="00DF0843"/>
    <w:rsid w:val="00DF1F74"/>
    <w:rsid w:val="00DF4CAC"/>
    <w:rsid w:val="00DF4FA6"/>
    <w:rsid w:val="00DF53B2"/>
    <w:rsid w:val="00DF714F"/>
    <w:rsid w:val="00E003E8"/>
    <w:rsid w:val="00E04D2C"/>
    <w:rsid w:val="00E060D2"/>
    <w:rsid w:val="00E1273F"/>
    <w:rsid w:val="00E12DD0"/>
    <w:rsid w:val="00E14714"/>
    <w:rsid w:val="00E14805"/>
    <w:rsid w:val="00E14FBA"/>
    <w:rsid w:val="00E212A2"/>
    <w:rsid w:val="00E21666"/>
    <w:rsid w:val="00E259F3"/>
    <w:rsid w:val="00E27ED7"/>
    <w:rsid w:val="00E308EF"/>
    <w:rsid w:val="00E31340"/>
    <w:rsid w:val="00E34C7E"/>
    <w:rsid w:val="00E35EB1"/>
    <w:rsid w:val="00E37D0E"/>
    <w:rsid w:val="00E435A6"/>
    <w:rsid w:val="00E557AC"/>
    <w:rsid w:val="00E6050B"/>
    <w:rsid w:val="00E629F1"/>
    <w:rsid w:val="00E6644A"/>
    <w:rsid w:val="00E741B0"/>
    <w:rsid w:val="00E83A79"/>
    <w:rsid w:val="00E85E09"/>
    <w:rsid w:val="00E86F33"/>
    <w:rsid w:val="00E93099"/>
    <w:rsid w:val="00E947D7"/>
    <w:rsid w:val="00E95B22"/>
    <w:rsid w:val="00E97399"/>
    <w:rsid w:val="00EA450C"/>
    <w:rsid w:val="00EB0475"/>
    <w:rsid w:val="00EB1160"/>
    <w:rsid w:val="00EB72BB"/>
    <w:rsid w:val="00EC1CDA"/>
    <w:rsid w:val="00EC2D02"/>
    <w:rsid w:val="00EC3A7E"/>
    <w:rsid w:val="00EC6093"/>
    <w:rsid w:val="00ED2E51"/>
    <w:rsid w:val="00ED2F49"/>
    <w:rsid w:val="00ED3B4C"/>
    <w:rsid w:val="00ED3D56"/>
    <w:rsid w:val="00ED4BC6"/>
    <w:rsid w:val="00EE034C"/>
    <w:rsid w:val="00EE12E2"/>
    <w:rsid w:val="00EE16D0"/>
    <w:rsid w:val="00EE29F5"/>
    <w:rsid w:val="00EE306F"/>
    <w:rsid w:val="00EE3CC0"/>
    <w:rsid w:val="00EE43D0"/>
    <w:rsid w:val="00EF3CF0"/>
    <w:rsid w:val="00EF6D2A"/>
    <w:rsid w:val="00F01B85"/>
    <w:rsid w:val="00F01DEA"/>
    <w:rsid w:val="00F11266"/>
    <w:rsid w:val="00F12756"/>
    <w:rsid w:val="00F127F7"/>
    <w:rsid w:val="00F13E61"/>
    <w:rsid w:val="00F14156"/>
    <w:rsid w:val="00F143F5"/>
    <w:rsid w:val="00F20DE8"/>
    <w:rsid w:val="00F20E6B"/>
    <w:rsid w:val="00F22FA0"/>
    <w:rsid w:val="00F26C8E"/>
    <w:rsid w:val="00F308B1"/>
    <w:rsid w:val="00F31EAB"/>
    <w:rsid w:val="00F34214"/>
    <w:rsid w:val="00F35069"/>
    <w:rsid w:val="00F36097"/>
    <w:rsid w:val="00F374B3"/>
    <w:rsid w:val="00F37620"/>
    <w:rsid w:val="00F40BF8"/>
    <w:rsid w:val="00F46934"/>
    <w:rsid w:val="00F46C1A"/>
    <w:rsid w:val="00F55363"/>
    <w:rsid w:val="00F55B4E"/>
    <w:rsid w:val="00F60C77"/>
    <w:rsid w:val="00F617E5"/>
    <w:rsid w:val="00F62D4C"/>
    <w:rsid w:val="00F63D54"/>
    <w:rsid w:val="00F640A9"/>
    <w:rsid w:val="00F66394"/>
    <w:rsid w:val="00F70DD4"/>
    <w:rsid w:val="00F7370E"/>
    <w:rsid w:val="00F7441D"/>
    <w:rsid w:val="00F7456A"/>
    <w:rsid w:val="00F814D9"/>
    <w:rsid w:val="00F81E0E"/>
    <w:rsid w:val="00F81FE8"/>
    <w:rsid w:val="00F83E25"/>
    <w:rsid w:val="00F859FE"/>
    <w:rsid w:val="00F868D6"/>
    <w:rsid w:val="00F927CC"/>
    <w:rsid w:val="00F952D4"/>
    <w:rsid w:val="00F97B2E"/>
    <w:rsid w:val="00FA212E"/>
    <w:rsid w:val="00FA7EEE"/>
    <w:rsid w:val="00FB27D5"/>
    <w:rsid w:val="00FC26D6"/>
    <w:rsid w:val="00FC6001"/>
    <w:rsid w:val="00FC724D"/>
    <w:rsid w:val="00FD2379"/>
    <w:rsid w:val="00FD4520"/>
    <w:rsid w:val="00FE0C48"/>
    <w:rsid w:val="00FE3B88"/>
    <w:rsid w:val="00FE4FE0"/>
    <w:rsid w:val="00FF12EB"/>
    <w:rsid w:val="00FF2C90"/>
    <w:rsid w:val="00FF4AE6"/>
    <w:rsid w:val="00FF67FA"/>
    <w:rsid w:val="04AEFCB2"/>
    <w:rsid w:val="051E92D0"/>
    <w:rsid w:val="05782003"/>
    <w:rsid w:val="05B64D87"/>
    <w:rsid w:val="06F086B8"/>
    <w:rsid w:val="084C1190"/>
    <w:rsid w:val="088755CF"/>
    <w:rsid w:val="08D0E34B"/>
    <w:rsid w:val="09B4D266"/>
    <w:rsid w:val="0A45AA7E"/>
    <w:rsid w:val="0D207795"/>
    <w:rsid w:val="0EC398B7"/>
    <w:rsid w:val="0FA3E637"/>
    <w:rsid w:val="0FFBE767"/>
    <w:rsid w:val="10FB6124"/>
    <w:rsid w:val="11356EFD"/>
    <w:rsid w:val="115A2901"/>
    <w:rsid w:val="128F2D9C"/>
    <w:rsid w:val="12DEE3D2"/>
    <w:rsid w:val="13627224"/>
    <w:rsid w:val="14024FC8"/>
    <w:rsid w:val="1438DED5"/>
    <w:rsid w:val="144089E7"/>
    <w:rsid w:val="144E993C"/>
    <w:rsid w:val="1491C9C3"/>
    <w:rsid w:val="160C9933"/>
    <w:rsid w:val="16A555F8"/>
    <w:rsid w:val="1714B87B"/>
    <w:rsid w:val="1728A161"/>
    <w:rsid w:val="184AF1F2"/>
    <w:rsid w:val="19280E89"/>
    <w:rsid w:val="1931C596"/>
    <w:rsid w:val="19F4CC61"/>
    <w:rsid w:val="1A05F341"/>
    <w:rsid w:val="1A88C8C7"/>
    <w:rsid w:val="1AA631E1"/>
    <w:rsid w:val="1AE18621"/>
    <w:rsid w:val="1C68CEE0"/>
    <w:rsid w:val="1DFDAED5"/>
    <w:rsid w:val="1EA0DA4B"/>
    <w:rsid w:val="1F178CA9"/>
    <w:rsid w:val="200FC0A9"/>
    <w:rsid w:val="20383120"/>
    <w:rsid w:val="20AACA41"/>
    <w:rsid w:val="2284A125"/>
    <w:rsid w:val="256AA3A8"/>
    <w:rsid w:val="2576B380"/>
    <w:rsid w:val="25C1F5AB"/>
    <w:rsid w:val="25D1614E"/>
    <w:rsid w:val="26545A1D"/>
    <w:rsid w:val="2823DE36"/>
    <w:rsid w:val="29193271"/>
    <w:rsid w:val="2A9CAE07"/>
    <w:rsid w:val="2B09627A"/>
    <w:rsid w:val="2EF87F15"/>
    <w:rsid w:val="305303F4"/>
    <w:rsid w:val="317DDDD2"/>
    <w:rsid w:val="33C275D0"/>
    <w:rsid w:val="368B8DE6"/>
    <w:rsid w:val="3896423B"/>
    <w:rsid w:val="39DF74C4"/>
    <w:rsid w:val="3A8534BF"/>
    <w:rsid w:val="3AB8ECDE"/>
    <w:rsid w:val="3B8079DA"/>
    <w:rsid w:val="3C0CB1C1"/>
    <w:rsid w:val="3C849963"/>
    <w:rsid w:val="3D01757E"/>
    <w:rsid w:val="3D5A484E"/>
    <w:rsid w:val="3E5DB281"/>
    <w:rsid w:val="3FC71E31"/>
    <w:rsid w:val="404F6D47"/>
    <w:rsid w:val="40E34C1A"/>
    <w:rsid w:val="42FEBEF3"/>
    <w:rsid w:val="43421246"/>
    <w:rsid w:val="4537C539"/>
    <w:rsid w:val="456848CF"/>
    <w:rsid w:val="45D0805E"/>
    <w:rsid w:val="45F6E21E"/>
    <w:rsid w:val="462E4C33"/>
    <w:rsid w:val="47B08E10"/>
    <w:rsid w:val="489D2E5F"/>
    <w:rsid w:val="4A236837"/>
    <w:rsid w:val="4B8AEF69"/>
    <w:rsid w:val="4BB6A49E"/>
    <w:rsid w:val="4E985B91"/>
    <w:rsid w:val="4EC9FEB2"/>
    <w:rsid w:val="51CF2643"/>
    <w:rsid w:val="525A0FB4"/>
    <w:rsid w:val="525DEB8C"/>
    <w:rsid w:val="54872325"/>
    <w:rsid w:val="55C9DB4A"/>
    <w:rsid w:val="55FC5060"/>
    <w:rsid w:val="561121A4"/>
    <w:rsid w:val="5659C2CF"/>
    <w:rsid w:val="5691177D"/>
    <w:rsid w:val="57B37DCA"/>
    <w:rsid w:val="57EAF888"/>
    <w:rsid w:val="586F8971"/>
    <w:rsid w:val="59D658BF"/>
    <w:rsid w:val="5C67AE2B"/>
    <w:rsid w:val="5DBC71DA"/>
    <w:rsid w:val="5E0FB01B"/>
    <w:rsid w:val="5F3DB740"/>
    <w:rsid w:val="5F4F38FC"/>
    <w:rsid w:val="61C755B7"/>
    <w:rsid w:val="61F4BF77"/>
    <w:rsid w:val="62DCC68F"/>
    <w:rsid w:val="63640495"/>
    <w:rsid w:val="645CE3F4"/>
    <w:rsid w:val="6563D5CE"/>
    <w:rsid w:val="65D62AD9"/>
    <w:rsid w:val="66D04C5B"/>
    <w:rsid w:val="6878FAF1"/>
    <w:rsid w:val="6E0214EC"/>
    <w:rsid w:val="6E3D09C2"/>
    <w:rsid w:val="6EEACD2E"/>
    <w:rsid w:val="719CD279"/>
    <w:rsid w:val="73C409E4"/>
    <w:rsid w:val="74CA4BCE"/>
    <w:rsid w:val="76B9C4BA"/>
    <w:rsid w:val="76CBC9E0"/>
    <w:rsid w:val="780DDC32"/>
    <w:rsid w:val="788FF323"/>
    <w:rsid w:val="79ECA989"/>
    <w:rsid w:val="7B279CB7"/>
    <w:rsid w:val="7DEA2B70"/>
    <w:rsid w:val="7E3F9663"/>
    <w:rsid w:val="7F089E9E"/>
    <w:rsid w:val="7F328B1D"/>
    <w:rsid w:val="7F35504A"/>
    <w:rsid w:val="7FA1CA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C53B69-819B-492A-8994-BBB462B3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F35069"/>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506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506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506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06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ListParagraph">
    <w:name w:val="List Paragraph"/>
    <w:basedOn w:val="Normal"/>
    <w:uiPriority w:val="34"/>
    <w:qFormat/>
    <w:rsid w:val="00F640A9"/>
    <w:pPr>
      <w:ind w:left="720"/>
      <w:contextualSpacing/>
    </w:pPr>
  </w:style>
  <w:style w:type="table" w:styleId="TableGrid">
    <w:name w:val="Table Grid"/>
    <w:basedOn w:val="TableNormal"/>
    <w:uiPriority w:val="59"/>
    <w:rsid w:val="0000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48C"/>
    <w:rPr>
      <w:color w:val="0000FF" w:themeColor="hyperlink"/>
      <w:u w:val="single"/>
    </w:rPr>
  </w:style>
  <w:style w:type="character" w:styleId="CommentReference">
    <w:name w:val="annotation reference"/>
    <w:basedOn w:val="DefaultParagraphFont"/>
    <w:uiPriority w:val="99"/>
    <w:semiHidden/>
    <w:unhideWhenUsed/>
    <w:rsid w:val="00EE306F"/>
    <w:rPr>
      <w:sz w:val="16"/>
      <w:szCs w:val="16"/>
    </w:rPr>
  </w:style>
  <w:style w:type="paragraph" w:styleId="CommentText">
    <w:name w:val="annotation text"/>
    <w:basedOn w:val="Normal"/>
    <w:link w:val="CommentTextChar"/>
    <w:uiPriority w:val="99"/>
    <w:semiHidden/>
    <w:unhideWhenUsed/>
    <w:rsid w:val="00EE306F"/>
    <w:pPr>
      <w:spacing w:line="240" w:lineRule="auto"/>
    </w:pPr>
    <w:rPr>
      <w:sz w:val="20"/>
      <w:szCs w:val="20"/>
    </w:rPr>
  </w:style>
  <w:style w:type="character" w:customStyle="1" w:styleId="CommentTextChar">
    <w:name w:val="Comment Text Char"/>
    <w:basedOn w:val="DefaultParagraphFont"/>
    <w:link w:val="CommentText"/>
    <w:uiPriority w:val="99"/>
    <w:semiHidden/>
    <w:rsid w:val="00EE30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306F"/>
    <w:rPr>
      <w:b/>
      <w:bCs/>
    </w:rPr>
  </w:style>
  <w:style w:type="character" w:customStyle="1" w:styleId="CommentSubjectChar">
    <w:name w:val="Comment Subject Char"/>
    <w:basedOn w:val="CommentTextChar"/>
    <w:link w:val="CommentSubject"/>
    <w:uiPriority w:val="99"/>
    <w:semiHidden/>
    <w:rsid w:val="00EE306F"/>
    <w:rPr>
      <w:rFonts w:ascii="Arial" w:hAnsi="Arial"/>
      <w:b/>
      <w:bCs/>
      <w:sz w:val="20"/>
      <w:szCs w:val="20"/>
    </w:rPr>
  </w:style>
  <w:style w:type="paragraph" w:styleId="BalloonText">
    <w:name w:val="Balloon Text"/>
    <w:basedOn w:val="Normal"/>
    <w:link w:val="BalloonTextChar"/>
    <w:uiPriority w:val="99"/>
    <w:semiHidden/>
    <w:unhideWhenUsed/>
    <w:rsid w:val="00EE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6F"/>
    <w:rPr>
      <w:rFonts w:ascii="Segoe UI" w:hAnsi="Segoe UI" w:cs="Segoe UI"/>
      <w:sz w:val="18"/>
      <w:szCs w:val="18"/>
    </w:rPr>
  </w:style>
  <w:style w:type="character" w:customStyle="1" w:styleId="Heading5Char">
    <w:name w:val="Heading 5 Char"/>
    <w:basedOn w:val="DefaultParagraphFont"/>
    <w:link w:val="Heading5"/>
    <w:uiPriority w:val="9"/>
    <w:rsid w:val="00F350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3506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350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350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5069"/>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177DA7"/>
  </w:style>
  <w:style w:type="character" w:customStyle="1" w:styleId="eop">
    <w:name w:val="eop"/>
    <w:basedOn w:val="DefaultParagraphFont"/>
    <w:rsid w:val="00177DA7"/>
  </w:style>
  <w:style w:type="paragraph" w:styleId="Revision">
    <w:name w:val="Revision"/>
    <w:hidden/>
    <w:uiPriority w:val="99"/>
    <w:semiHidden/>
    <w:rsid w:val="00A030A4"/>
    <w:pPr>
      <w:spacing w:after="0" w:line="240" w:lineRule="auto"/>
    </w:pPr>
    <w:rPr>
      <w:rFonts w:ascii="Arial" w:hAnsi="Arial"/>
    </w:rPr>
  </w:style>
  <w:style w:type="paragraph" w:customStyle="1" w:styleId="paragraph">
    <w:name w:val="paragraph"/>
    <w:basedOn w:val="Normal"/>
    <w:rsid w:val="00657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6855">
      <w:bodyDiv w:val="1"/>
      <w:marLeft w:val="0"/>
      <w:marRight w:val="0"/>
      <w:marTop w:val="0"/>
      <w:marBottom w:val="0"/>
      <w:divBdr>
        <w:top w:val="none" w:sz="0" w:space="0" w:color="auto"/>
        <w:left w:val="none" w:sz="0" w:space="0" w:color="auto"/>
        <w:bottom w:val="none" w:sz="0" w:space="0" w:color="auto"/>
        <w:right w:val="none" w:sz="0" w:space="0" w:color="auto"/>
      </w:divBdr>
      <w:divsChild>
        <w:div w:id="828442871">
          <w:marLeft w:val="0"/>
          <w:marRight w:val="0"/>
          <w:marTop w:val="0"/>
          <w:marBottom w:val="0"/>
          <w:divBdr>
            <w:top w:val="none" w:sz="0" w:space="0" w:color="auto"/>
            <w:left w:val="none" w:sz="0" w:space="0" w:color="auto"/>
            <w:bottom w:val="none" w:sz="0" w:space="0" w:color="auto"/>
            <w:right w:val="none" w:sz="0" w:space="0" w:color="auto"/>
          </w:divBdr>
        </w:div>
        <w:div w:id="1828280341">
          <w:marLeft w:val="0"/>
          <w:marRight w:val="0"/>
          <w:marTop w:val="0"/>
          <w:marBottom w:val="0"/>
          <w:divBdr>
            <w:top w:val="none" w:sz="0" w:space="0" w:color="auto"/>
            <w:left w:val="none" w:sz="0" w:space="0" w:color="auto"/>
            <w:bottom w:val="none" w:sz="0" w:space="0" w:color="auto"/>
            <w:right w:val="none" w:sz="0" w:space="0" w:color="auto"/>
          </w:divBdr>
        </w:div>
      </w:divsChild>
    </w:div>
    <w:div w:id="16371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richardson-jess@kent.fire-uk.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f71e38-fe70-4097-bbb8-72989deb4741">
      <Value>2917</Value>
    </TaxCatchAll>
    <SharedWithUsers xmlns="2af71e38-fe70-4097-bbb8-72989deb4741">
      <UserInfo>
        <DisplayName>Ward, Michelle</DisplayName>
        <AccountId>39</AccountId>
        <AccountType/>
      </UserInfo>
      <UserInfo>
        <DisplayName>Tunnicliff, Lynda</DisplayName>
        <AccountId>33</AccountId>
        <AccountType/>
      </UserInfo>
      <UserInfo>
        <DisplayName>sp2010_admin</DisplayName>
        <AccountId>30</AccountId>
        <AccountType/>
      </UserInfo>
      <UserInfo>
        <DisplayName>Pratt, Sue</DisplayName>
        <AccountId>31</AccountId>
        <AccountType/>
      </UserInfo>
      <UserInfo>
        <DisplayName>Parfitt, Hannah</DisplayName>
        <AccountId>26</AccountId>
        <AccountType/>
      </UserInfo>
      <UserInfo>
        <DisplayName>Egan-Briers, Brett</DisplayName>
        <AccountId>28</AccountId>
        <AccountType/>
      </UserInfo>
      <UserInfo>
        <DisplayName>Butler, Tina</DisplayName>
        <AccountId>34</AccountId>
        <AccountType/>
      </UserInfo>
      <UserInfo>
        <DisplayName>Trimmer, Stephen</DisplayName>
        <AccountId>51</AccountId>
        <AccountType/>
      </UserInfo>
    </SharedWithUsers>
    <i08c96547f1442df830e9dd3901ed0ca xmlns="a60f392d-bbc7-4863-8adc-765d30665a44">
      <Terms xmlns="http://schemas.microsoft.com/office/infopath/2007/PartnerControls"/>
    </i08c96547f1442df830e9dd3901ed0ca>
    <o20dbf88347e4197ac30533db73278d2 xmlns="a60f392d-bbc7-4863-8adc-765d30665a44">
      <Terms xmlns="http://schemas.microsoft.com/office/infopath/2007/PartnerControls"/>
    </o20dbf88347e4197ac30533db73278d2>
    <l5e83d274fcc4a258c55140291f6e24b xmlns="a60f392d-bbc7-4863-8adc-765d30665a44">
      <Terms xmlns="http://schemas.microsoft.com/office/infopath/2007/PartnerControls"/>
    </l5e83d274fcc4a258c55140291f6e24b>
    <i1359847d2a542c0958b773bd7587c22 xmlns="a60f392d-bbc7-4863-8adc-765d30665a44">
      <Terms xmlns="http://schemas.microsoft.com/office/infopath/2007/PartnerControls">
        <TermInfo xmlns="http://schemas.microsoft.com/office/infopath/2007/PartnerControls">
          <TermName xmlns="http://schemas.microsoft.com/office/infopath/2007/PartnerControls">140FLEET</TermName>
          <TermId xmlns="http://schemas.microsoft.com/office/infopath/2007/PartnerControls">d4026217-0c83-4b1a-ac25-2fa396e958eb</TermId>
        </TermInfo>
      </Terms>
    </i1359847d2a542c0958b773bd7587c22>
    <d85d4fa59c8c44349413a6ecf0acbcde xmlns="a60f392d-bbc7-4863-8adc-765d30665a44">
      <Terms xmlns="http://schemas.microsoft.com/office/infopath/2007/PartnerControls"/>
    </d85d4fa59c8c44349413a6ecf0acbcde>
    <c9760666a1484b7889dfdfc0bd0ba203 xmlns="a60f392d-bbc7-4863-8adc-765d30665a44">
      <Terms xmlns="http://schemas.microsoft.com/office/infopath/2007/PartnerControls"/>
    </c9760666a1484b7889dfdfc0bd0ba20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FBAA8861AE84B9D99C67A8E08197E" ma:contentTypeVersion="31" ma:contentTypeDescription="Create a new document." ma:contentTypeScope="" ma:versionID="96e0d01aefc1f50c01df2db1525e4756">
  <xsd:schema xmlns:xsd="http://www.w3.org/2001/XMLSchema" xmlns:xs="http://www.w3.org/2001/XMLSchema" xmlns:p="http://schemas.microsoft.com/office/2006/metadata/properties" xmlns:ns2="a60f392d-bbc7-4863-8adc-765d30665a44" xmlns:ns3="2af71e38-fe70-4097-bbb8-72989deb4741" targetNamespace="http://schemas.microsoft.com/office/2006/metadata/properties" ma:root="true" ma:fieldsID="84fee24a673dfbcfb067148a633480ee" ns2:_="" ns3:_="">
    <xsd:import namespace="a60f392d-bbc7-4863-8adc-765d30665a44"/>
    <xsd:import namespace="2af71e38-fe70-4097-bbb8-72989deb4741"/>
    <xsd:element name="properties">
      <xsd:complexType>
        <xsd:sequence>
          <xsd:element name="documentManagement">
            <xsd:complexType>
              <xsd:all>
                <xsd:element ref="ns2:i08c96547f1442df830e9dd3901ed0ca" minOccurs="0"/>
                <xsd:element ref="ns2:d85d4fa59c8c44349413a6ecf0acbcde" minOccurs="0"/>
                <xsd:element ref="ns2:o20dbf88347e4197ac30533db73278d2" minOccurs="0"/>
                <xsd:element ref="ns2:c9760666a1484b7889dfdfc0bd0ba203" minOccurs="0"/>
                <xsd:element ref="ns2:i1359847d2a542c0958b773bd7587c22" minOccurs="0"/>
                <xsd:element ref="ns2:l5e83d274fcc4a258c55140291f6e24b"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392d-bbc7-4863-8adc-765d30665a44" elementFormDefault="qualified">
    <xsd:import namespace="http://schemas.microsoft.com/office/2006/documentManagement/types"/>
    <xsd:import namespace="http://schemas.microsoft.com/office/infopath/2007/PartnerControls"/>
    <xsd:element name="i08c96547f1442df830e9dd3901ed0ca" ma:index="9" nillable="true" ma:taxonomy="true" ma:internalName="i08c96547f1442df830e9dd3901ed0ca" ma:taxonomyFieldName="SubTopic" ma:displayName="SubTopic" ma:readOnly="false" ma:fieldId="{208c9654-7f14-42df-830e-9dd3901ed0ca}" ma:sspId="273cd7ea-5514-489e-98f0-acd0d6f7a540" ma:termSetId="3a887887-6ae1-4805-bb60-3c316d2f1f3f" ma:anchorId="00000000-0000-0000-0000-000000000000" ma:open="false" ma:isKeyword="false">
      <xsd:complexType>
        <xsd:sequence>
          <xsd:element ref="pc:Terms" minOccurs="0" maxOccurs="1"/>
        </xsd:sequence>
      </xsd:complexType>
    </xsd:element>
    <xsd:element name="d85d4fa59c8c44349413a6ecf0acbcde" ma:index="11" nillable="true" ma:taxonomy="true" ma:internalName="d85d4fa59c8c44349413a6ecf0acbcde" ma:taxonomyFieldName="Supplier" ma:displayName="Supplier" ma:readOnly="false" ma:default="" ma:fieldId="{d85d4fa5-9c8c-4434-9413-a6ecf0acbcde}" ma:sspId="273cd7ea-5514-489e-98f0-acd0d6f7a540" ma:termSetId="41aaed3f-6112-46b7-8d6e-07916dac2929" ma:anchorId="00000000-0000-0000-0000-000000000000" ma:open="true" ma:isKeyword="false">
      <xsd:complexType>
        <xsd:sequence>
          <xsd:element ref="pc:Terms" minOccurs="0" maxOccurs="1"/>
        </xsd:sequence>
      </xsd:complexType>
    </xsd:element>
    <xsd:element name="o20dbf88347e4197ac30533db73278d2" ma:index="13" nillable="true" ma:taxonomy="true" ma:internalName="o20dbf88347e4197ac30533db73278d2" ma:taxonomyFieldName="ContractRef" ma:displayName="ContractRef" ma:readOnly="false" ma:fieldId="{820dbf88-347e-4197-ac30-533db73278d2}" ma:sspId="273cd7ea-5514-489e-98f0-acd0d6f7a540" ma:termSetId="20ca9643-d7d0-44a7-814a-5c20a7246331" ma:anchorId="00000000-0000-0000-0000-000000000000" ma:open="false" ma:isKeyword="false">
      <xsd:complexType>
        <xsd:sequence>
          <xsd:element ref="pc:Terms" minOccurs="0" maxOccurs="1"/>
        </xsd:sequence>
      </xsd:complexType>
    </xsd:element>
    <xsd:element name="c9760666a1484b7889dfdfc0bd0ba203" ma:index="18" nillable="true" ma:taxonomy="true" ma:internalName="c9760666a1484b7889dfdfc0bd0ba203" ma:taxonomyFieldName="DocumentType" ma:displayName="DocumentType" ma:readOnly="false" ma:default="" ma:fieldId="{c9760666-a148-4b78-89df-dfc0bd0ba203}"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i1359847d2a542c0958b773bd7587c22" ma:index="19" nillable="true" ma:taxonomy="true" ma:internalName="i1359847d2a542c0958b773bd7587c22" ma:taxonomyFieldName="Topic" ma:displayName="Topic" ma:readOnly="false" ma:default="" ma:fieldId="{21359847-d2a5-42c0-958b-773bd7587c22}"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l5e83d274fcc4a258c55140291f6e24b" ma:index="20" nillable="true" ma:taxonomy="true" ma:internalName="l5e83d274fcc4a258c55140291f6e24b" ma:taxonomyFieldName="RelatedTopics" ma:displayName="RelatedTopics" ma:readOnly="false" ma:default="" ma:fieldId="{55e83d27-4fcc-4a25-8c55-140291f6e24b}"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34743eac-d1e6-4499-a025-93c411fa6fe7}" ma:internalName="TaxCatchAll" ma:readOnly="false" ma:showField="CatchAllData"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2.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2af71e38-fe70-4097-bbb8-72989deb4741"/>
    <ds:schemaRef ds:uri="a60f392d-bbc7-4863-8adc-765d30665a44"/>
  </ds:schemaRefs>
</ds:datastoreItem>
</file>

<file path=customXml/itemProps3.xml><?xml version="1.0" encoding="utf-8"?>
<ds:datastoreItem xmlns:ds="http://schemas.openxmlformats.org/officeDocument/2006/customXml" ds:itemID="{04150BB4-6099-4F61-97EE-EC6514D5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f392d-bbc7-4863-8adc-765d30665a44"/>
    <ds:schemaRef ds:uri="2af71e38-fe70-4097-bbb8-72989deb4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1C2C3-01D8-44A6-AE74-3DC214EE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MFDs - RFI</vt:lpstr>
    </vt:vector>
  </TitlesOfParts>
  <Company>Kent Fire and Rescue Service</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MFDs - RFI</dc:title>
  <dc:subject/>
  <dc:creator>Sondhi, Akash</dc:creator>
  <cp:keywords/>
  <dc:description/>
  <cp:lastModifiedBy>Richardson-Jess, Amanda</cp:lastModifiedBy>
  <cp:revision>4</cp:revision>
  <dcterms:created xsi:type="dcterms:W3CDTF">2021-11-25T10:48:00Z</dcterms:created>
  <dcterms:modified xsi:type="dcterms:W3CDTF">2021-11-25T14:17:00Z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0x0101007D2C3E8AD803E44780861DEC5095EFD0</vt:lpwstr>
  </property>
  <property fmtid="{D5CDD505-2E9C-101B-9397-08002B2CF9AE}" pid="3" name="Topic">
    <vt:lpwstr>2917;#140FLEET|d4026217-0c83-4b1a-ac25-2fa396e958eb</vt:lpwstr>
  </property>
  <property fmtid="{D5CDD505-2E9C-101B-9397-08002B2CF9AE}" pid="4" name="RelatedTopics">
    <vt:lpwstr/>
  </property>
  <property fmtid="{D5CDD505-2E9C-101B-9397-08002B2CF9AE}" pid="5" name="DocumentType">
    <vt:lpwstr/>
  </property>
  <property fmtid="{D5CDD505-2E9C-101B-9397-08002B2CF9AE}" pid="6" name="Supplier">
    <vt:lpwstr/>
  </property>
  <property fmtid="{D5CDD505-2E9C-101B-9397-08002B2CF9AE}" pid="7" name="Subtopic">
    <vt:lpwstr>62;#RFQ document|f5de147d-7444-424c-b967-63a683660a7c</vt:lpwstr>
  </property>
  <property fmtid="{D5CDD505-2E9C-101B-9397-08002B2CF9AE}" pid="8" name="Contract_x0020_Ref">
    <vt:lpwstr>372;#C19049 Mulit-functional Devides (Printers)|6f794a7f-3f12-46ad-8756-16a41b9aad3e</vt:lpwstr>
  </property>
  <property fmtid="{D5CDD505-2E9C-101B-9397-08002B2CF9AE}" pid="9" name="Contract Ref">
    <vt:lpwstr>372</vt:lpwstr>
  </property>
  <property fmtid="{D5CDD505-2E9C-101B-9397-08002B2CF9AE}" pid="10" name="ContractRef">
    <vt:lpwstr/>
  </property>
</Properties>
</file>