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4D56" w14:textId="068D524E" w:rsidR="00A33DF9" w:rsidRPr="00AE54E4" w:rsidRDefault="00997BC1" w:rsidP="00A33DF9">
      <w:pPr>
        <w:jc w:val="center"/>
        <w:rPr>
          <w:rFonts w:cs="Arial"/>
          <w:b/>
          <w:sz w:val="44"/>
          <w:szCs w:val="44"/>
          <w:lang w:val="en-US"/>
        </w:rPr>
      </w:pPr>
      <w:r w:rsidRPr="00AE54E4">
        <w:rPr>
          <w:rFonts w:cs="Arial"/>
          <w:b/>
          <w:sz w:val="44"/>
          <w:szCs w:val="44"/>
          <w:lang w:val="en-US"/>
        </w:rPr>
        <w:t xml:space="preserve">  </w:t>
      </w:r>
      <w:r w:rsidR="002678D9" w:rsidRPr="00AE54E4">
        <w:rPr>
          <w:rFonts w:cs="Arial"/>
          <w:b/>
          <w:sz w:val="44"/>
          <w:szCs w:val="44"/>
          <w:lang w:val="en-US"/>
        </w:rPr>
        <w:t xml:space="preserve"> </w:t>
      </w:r>
      <w:r w:rsidR="00A33DF9" w:rsidRPr="00AE54E4">
        <w:rPr>
          <w:rFonts w:cs="Arial"/>
          <w:b/>
          <w:sz w:val="44"/>
          <w:szCs w:val="44"/>
          <w:lang w:val="en-US"/>
        </w:rPr>
        <w:t>Invitation to Quote</w:t>
      </w:r>
    </w:p>
    <w:p w14:paraId="12DBD57B" w14:textId="77777777" w:rsidR="00A33DF9" w:rsidRPr="00AE54E4" w:rsidRDefault="00A33DF9">
      <w:pPr>
        <w:rPr>
          <w:rFonts w:cs="Arial"/>
          <w:b/>
          <w:sz w:val="28"/>
          <w:szCs w:val="28"/>
          <w:lang w:val="en-US"/>
        </w:rPr>
      </w:pPr>
    </w:p>
    <w:tbl>
      <w:tblPr>
        <w:tblStyle w:val="TableGrid"/>
        <w:tblW w:w="0" w:type="auto"/>
        <w:tblLook w:val="04A0" w:firstRow="1" w:lastRow="0" w:firstColumn="1" w:lastColumn="0" w:noHBand="0" w:noVBand="1"/>
      </w:tblPr>
      <w:tblGrid>
        <w:gridCol w:w="9016"/>
      </w:tblGrid>
      <w:tr w:rsidR="00A33DF9" w:rsidRPr="00AE54E4" w14:paraId="4F186103" w14:textId="77777777" w:rsidTr="0027117F">
        <w:tc>
          <w:tcPr>
            <w:tcW w:w="9016" w:type="dxa"/>
            <w:shd w:val="clear" w:color="auto" w:fill="F2F2F2" w:themeFill="background1" w:themeFillShade="F2"/>
          </w:tcPr>
          <w:p w14:paraId="16997F1E" w14:textId="77777777" w:rsidR="00A33DF9" w:rsidRPr="00AE54E4" w:rsidRDefault="00A33DF9">
            <w:pPr>
              <w:rPr>
                <w:rFonts w:cs="Arial"/>
                <w:b/>
                <w:sz w:val="28"/>
                <w:szCs w:val="28"/>
                <w:lang w:val="en-US"/>
              </w:rPr>
            </w:pPr>
          </w:p>
          <w:p w14:paraId="19AE548D" w14:textId="77777777" w:rsidR="00A33DF9" w:rsidRPr="00AE54E4" w:rsidRDefault="00A33DF9" w:rsidP="00A33DF9">
            <w:pPr>
              <w:jc w:val="center"/>
              <w:rPr>
                <w:rFonts w:cs="Arial"/>
                <w:b/>
                <w:sz w:val="28"/>
                <w:szCs w:val="28"/>
                <w:lang w:val="en-US"/>
              </w:rPr>
            </w:pPr>
            <w:r w:rsidRPr="00AE54E4">
              <w:rPr>
                <w:rFonts w:cs="Arial"/>
                <w:b/>
                <w:sz w:val="28"/>
                <w:szCs w:val="28"/>
                <w:lang w:val="en-US"/>
              </w:rPr>
              <w:t>Name of Council:</w:t>
            </w:r>
          </w:p>
          <w:p w14:paraId="4FEE76F8" w14:textId="77777777" w:rsidR="00A33DF9" w:rsidRPr="00AE54E4" w:rsidRDefault="00A33DF9" w:rsidP="00A33DF9">
            <w:pPr>
              <w:jc w:val="center"/>
              <w:rPr>
                <w:rFonts w:cs="Arial"/>
                <w:b/>
                <w:sz w:val="28"/>
                <w:szCs w:val="28"/>
                <w:lang w:val="en-US"/>
              </w:rPr>
            </w:pPr>
          </w:p>
          <w:p w14:paraId="0A56E875" w14:textId="77777777" w:rsidR="00A33DF9" w:rsidRPr="00AE54E4" w:rsidRDefault="00A33DF9" w:rsidP="00A33DF9">
            <w:pPr>
              <w:jc w:val="center"/>
              <w:rPr>
                <w:rFonts w:cs="Arial"/>
                <w:sz w:val="28"/>
                <w:szCs w:val="28"/>
                <w:lang w:val="en-US"/>
              </w:rPr>
            </w:pPr>
            <w:r w:rsidRPr="00AE54E4">
              <w:rPr>
                <w:rFonts w:cs="Arial"/>
                <w:sz w:val="28"/>
                <w:szCs w:val="28"/>
                <w:lang w:val="en-US"/>
              </w:rPr>
              <w:t>Gosport Borough Council</w:t>
            </w:r>
          </w:p>
          <w:p w14:paraId="4320743F" w14:textId="77777777" w:rsidR="00A33DF9" w:rsidRPr="00AE54E4" w:rsidRDefault="00A33DF9">
            <w:pPr>
              <w:rPr>
                <w:rFonts w:cs="Arial"/>
                <w:b/>
                <w:sz w:val="28"/>
                <w:szCs w:val="28"/>
                <w:lang w:val="en-US"/>
              </w:rPr>
            </w:pPr>
          </w:p>
        </w:tc>
      </w:tr>
      <w:tr w:rsidR="00A33DF9" w:rsidRPr="00AE54E4" w14:paraId="6D2C9A58" w14:textId="77777777" w:rsidTr="0027117F">
        <w:tc>
          <w:tcPr>
            <w:tcW w:w="9016" w:type="dxa"/>
            <w:shd w:val="clear" w:color="auto" w:fill="F2F2F2" w:themeFill="background1" w:themeFillShade="F2"/>
          </w:tcPr>
          <w:p w14:paraId="754E9EE8" w14:textId="77777777" w:rsidR="00A33DF9" w:rsidRPr="00AE54E4" w:rsidRDefault="00A33DF9">
            <w:pPr>
              <w:rPr>
                <w:rFonts w:cs="Arial"/>
                <w:b/>
                <w:sz w:val="28"/>
                <w:szCs w:val="28"/>
                <w:lang w:val="en-US"/>
              </w:rPr>
            </w:pPr>
          </w:p>
          <w:p w14:paraId="64331CEB" w14:textId="3A132693" w:rsidR="00A33DF9" w:rsidRPr="00AE54E4" w:rsidRDefault="00A33DF9" w:rsidP="00A33DF9">
            <w:pPr>
              <w:jc w:val="center"/>
              <w:rPr>
                <w:rFonts w:cs="Arial"/>
                <w:b/>
                <w:sz w:val="28"/>
                <w:szCs w:val="28"/>
                <w:lang w:val="en-US"/>
              </w:rPr>
            </w:pPr>
            <w:r w:rsidRPr="00AE54E4">
              <w:rPr>
                <w:rFonts w:cs="Arial"/>
                <w:b/>
                <w:sz w:val="28"/>
                <w:szCs w:val="28"/>
                <w:lang w:val="en-US"/>
              </w:rPr>
              <w:t>Invitation to Quote</w:t>
            </w:r>
            <w:r w:rsidR="00DD3496" w:rsidRPr="00AE54E4">
              <w:rPr>
                <w:rFonts w:cs="Arial"/>
                <w:b/>
                <w:sz w:val="28"/>
                <w:szCs w:val="28"/>
                <w:lang w:val="en-US"/>
              </w:rPr>
              <w:t>(ITQ)</w:t>
            </w:r>
            <w:r w:rsidRPr="00AE54E4">
              <w:rPr>
                <w:rFonts w:cs="Arial"/>
                <w:b/>
                <w:sz w:val="28"/>
                <w:szCs w:val="28"/>
                <w:lang w:val="en-US"/>
              </w:rPr>
              <w:t xml:space="preserve"> for:</w:t>
            </w:r>
          </w:p>
          <w:p w14:paraId="17E96048" w14:textId="77777777" w:rsidR="00A33DF9" w:rsidRPr="00AE54E4" w:rsidRDefault="00A33DF9">
            <w:pPr>
              <w:rPr>
                <w:rFonts w:cs="Arial"/>
                <w:b/>
                <w:sz w:val="28"/>
                <w:szCs w:val="28"/>
                <w:lang w:val="en-US"/>
              </w:rPr>
            </w:pPr>
          </w:p>
          <w:p w14:paraId="02281948" w14:textId="77777777" w:rsidR="0087585C" w:rsidRPr="00AE54E4" w:rsidRDefault="00A33DF9" w:rsidP="0087585C">
            <w:pPr>
              <w:jc w:val="center"/>
              <w:rPr>
                <w:rFonts w:cs="Arial"/>
                <w:sz w:val="28"/>
                <w:szCs w:val="28"/>
                <w:lang w:val="en-US"/>
              </w:rPr>
            </w:pPr>
            <w:r w:rsidRPr="00AE54E4">
              <w:rPr>
                <w:rFonts w:cs="Arial"/>
                <w:sz w:val="28"/>
                <w:szCs w:val="28"/>
                <w:lang w:val="en-US"/>
              </w:rPr>
              <w:t xml:space="preserve">Consultancy Services: </w:t>
            </w:r>
            <w:r w:rsidR="004B751E" w:rsidRPr="00AE54E4">
              <w:rPr>
                <w:rFonts w:cs="Arial"/>
                <w:sz w:val="28"/>
                <w:szCs w:val="28"/>
                <w:lang w:val="en-US"/>
              </w:rPr>
              <w:t xml:space="preserve">Submarine Escape </w:t>
            </w:r>
          </w:p>
          <w:p w14:paraId="08923CA1" w14:textId="2574853C" w:rsidR="00A33DF9" w:rsidRPr="00AE54E4" w:rsidRDefault="004B751E" w:rsidP="0087585C">
            <w:pPr>
              <w:jc w:val="center"/>
              <w:rPr>
                <w:rFonts w:cs="Arial"/>
                <w:b/>
                <w:sz w:val="28"/>
                <w:szCs w:val="28"/>
                <w:lang w:val="en-US"/>
              </w:rPr>
            </w:pPr>
            <w:r w:rsidRPr="00AE54E4">
              <w:rPr>
                <w:rFonts w:cs="Arial"/>
                <w:sz w:val="28"/>
                <w:szCs w:val="28"/>
                <w:lang w:val="en-US"/>
              </w:rPr>
              <w:t>Training Tower (SETT)</w:t>
            </w:r>
            <w:r w:rsidRPr="00AE54E4">
              <w:rPr>
                <w:rFonts w:cs="Arial"/>
                <w:b/>
                <w:bCs/>
              </w:rPr>
              <w:t xml:space="preserve"> </w:t>
            </w:r>
            <w:r w:rsidRPr="00AE54E4">
              <w:rPr>
                <w:rFonts w:cs="Arial"/>
                <w:sz w:val="28"/>
                <w:szCs w:val="28"/>
                <w:lang w:val="en-US"/>
              </w:rPr>
              <w:t>Study</w:t>
            </w:r>
          </w:p>
        </w:tc>
      </w:tr>
      <w:tr w:rsidR="00A33DF9" w:rsidRPr="00AE54E4" w14:paraId="7E06E326" w14:textId="77777777" w:rsidTr="0027117F">
        <w:tc>
          <w:tcPr>
            <w:tcW w:w="9016" w:type="dxa"/>
            <w:shd w:val="clear" w:color="auto" w:fill="F2F2F2" w:themeFill="background1" w:themeFillShade="F2"/>
          </w:tcPr>
          <w:p w14:paraId="632A021A" w14:textId="77777777" w:rsidR="00A33DF9" w:rsidRPr="00AE54E4" w:rsidRDefault="00A33DF9">
            <w:pPr>
              <w:rPr>
                <w:rFonts w:cs="Arial"/>
                <w:b/>
                <w:sz w:val="28"/>
                <w:szCs w:val="28"/>
                <w:lang w:val="en-US"/>
              </w:rPr>
            </w:pPr>
          </w:p>
          <w:p w14:paraId="5D9F7B15" w14:textId="77777777" w:rsidR="00A33DF9" w:rsidRPr="00AE54E4" w:rsidRDefault="00A33DF9" w:rsidP="00A33DF9">
            <w:pPr>
              <w:jc w:val="center"/>
              <w:rPr>
                <w:rFonts w:cs="Arial"/>
                <w:b/>
                <w:sz w:val="28"/>
                <w:szCs w:val="28"/>
                <w:lang w:val="en-US"/>
              </w:rPr>
            </w:pPr>
            <w:r w:rsidRPr="00AE54E4">
              <w:rPr>
                <w:rFonts w:cs="Arial"/>
                <w:b/>
                <w:sz w:val="28"/>
                <w:szCs w:val="28"/>
                <w:lang w:val="en-US"/>
              </w:rPr>
              <w:t>Invitation to Quote for Return Date and Time (Deadline)</w:t>
            </w:r>
          </w:p>
          <w:p w14:paraId="4A41B416" w14:textId="77777777" w:rsidR="00A33DF9" w:rsidRPr="00AE54E4" w:rsidRDefault="00A33DF9">
            <w:pPr>
              <w:rPr>
                <w:rFonts w:cs="Arial"/>
                <w:b/>
                <w:sz w:val="28"/>
                <w:szCs w:val="28"/>
                <w:lang w:val="en-US"/>
              </w:rPr>
            </w:pPr>
          </w:p>
          <w:p w14:paraId="55A69991" w14:textId="0C4709D5" w:rsidR="00A33DF9" w:rsidRPr="00AE54E4" w:rsidRDefault="0027117F" w:rsidP="00A33DF9">
            <w:pPr>
              <w:jc w:val="center"/>
              <w:rPr>
                <w:rFonts w:cs="Arial"/>
                <w:sz w:val="28"/>
                <w:szCs w:val="28"/>
                <w:lang w:val="en-US"/>
              </w:rPr>
            </w:pPr>
            <w:r w:rsidRPr="00E36C1A">
              <w:rPr>
                <w:rFonts w:cs="Arial"/>
                <w:sz w:val="28"/>
                <w:szCs w:val="28"/>
                <w:lang w:val="en-US"/>
              </w:rPr>
              <w:t xml:space="preserve">Noon – </w:t>
            </w:r>
            <w:r w:rsidR="00E36C1A" w:rsidRPr="00E36C1A">
              <w:rPr>
                <w:rFonts w:cs="Arial"/>
                <w:sz w:val="28"/>
                <w:szCs w:val="28"/>
                <w:lang w:val="en-US"/>
              </w:rPr>
              <w:t>24</w:t>
            </w:r>
            <w:r w:rsidR="00A5675A" w:rsidRPr="00E36C1A">
              <w:rPr>
                <w:rFonts w:cs="Arial"/>
                <w:sz w:val="28"/>
                <w:szCs w:val="28"/>
                <w:vertAlign w:val="superscript"/>
                <w:lang w:val="en-US"/>
              </w:rPr>
              <w:t>th</w:t>
            </w:r>
            <w:r w:rsidR="00A5675A" w:rsidRPr="00E36C1A">
              <w:rPr>
                <w:rFonts w:cs="Arial"/>
                <w:sz w:val="28"/>
                <w:szCs w:val="28"/>
                <w:lang w:val="en-US"/>
              </w:rPr>
              <w:t xml:space="preserve"> February</w:t>
            </w:r>
            <w:r w:rsidR="00473328" w:rsidRPr="00E36C1A">
              <w:rPr>
                <w:rFonts w:cs="Arial"/>
                <w:sz w:val="28"/>
                <w:szCs w:val="28"/>
                <w:lang w:val="en-US"/>
              </w:rPr>
              <w:t xml:space="preserve"> 2023</w:t>
            </w:r>
          </w:p>
          <w:p w14:paraId="735E26E4" w14:textId="77777777" w:rsidR="00A33DF9" w:rsidRPr="00AE54E4" w:rsidRDefault="00A33DF9">
            <w:pPr>
              <w:rPr>
                <w:rFonts w:cs="Arial"/>
                <w:b/>
                <w:sz w:val="28"/>
                <w:szCs w:val="28"/>
                <w:lang w:val="en-US"/>
              </w:rPr>
            </w:pPr>
          </w:p>
        </w:tc>
      </w:tr>
    </w:tbl>
    <w:p w14:paraId="69451F6A" w14:textId="77777777" w:rsidR="00A33DF9" w:rsidRPr="00AE54E4" w:rsidRDefault="00A33DF9">
      <w:pPr>
        <w:rPr>
          <w:rFonts w:cs="Arial"/>
          <w:b/>
          <w:sz w:val="28"/>
          <w:szCs w:val="28"/>
          <w:lang w:val="en-US"/>
        </w:rPr>
      </w:pPr>
    </w:p>
    <w:p w14:paraId="1BD31408" w14:textId="77777777" w:rsidR="00A33DF9" w:rsidRPr="00AE54E4" w:rsidRDefault="00A33DF9">
      <w:pPr>
        <w:rPr>
          <w:rFonts w:cs="Arial"/>
          <w:b/>
          <w:sz w:val="28"/>
          <w:szCs w:val="28"/>
          <w:lang w:val="en-US"/>
        </w:rPr>
      </w:pPr>
    </w:p>
    <w:p w14:paraId="0BB42750" w14:textId="77777777" w:rsidR="00A33DF9" w:rsidRPr="00AE54E4" w:rsidRDefault="00A33DF9">
      <w:pPr>
        <w:rPr>
          <w:rFonts w:cs="Arial"/>
          <w:b/>
          <w:sz w:val="28"/>
          <w:szCs w:val="28"/>
          <w:lang w:val="en-US"/>
        </w:rPr>
      </w:pPr>
    </w:p>
    <w:p w14:paraId="1954E894" w14:textId="77777777" w:rsidR="00A33DF9" w:rsidRPr="00AE54E4" w:rsidRDefault="00A33DF9">
      <w:pPr>
        <w:rPr>
          <w:rFonts w:cs="Arial"/>
          <w:b/>
          <w:sz w:val="28"/>
          <w:szCs w:val="28"/>
          <w:lang w:val="en-US"/>
        </w:rPr>
      </w:pPr>
    </w:p>
    <w:p w14:paraId="696B384D" w14:textId="77777777" w:rsidR="00A33DF9" w:rsidRPr="00AE54E4" w:rsidRDefault="00A33DF9">
      <w:pPr>
        <w:rPr>
          <w:rFonts w:cs="Arial"/>
          <w:b/>
          <w:sz w:val="28"/>
          <w:szCs w:val="28"/>
          <w:lang w:val="en-US"/>
        </w:rPr>
      </w:pPr>
    </w:p>
    <w:p w14:paraId="515BC733" w14:textId="77777777" w:rsidR="00A33DF9" w:rsidRPr="00AE54E4" w:rsidRDefault="00A33DF9">
      <w:pPr>
        <w:rPr>
          <w:rFonts w:cs="Arial"/>
          <w:b/>
          <w:sz w:val="28"/>
          <w:szCs w:val="28"/>
          <w:lang w:val="en-US"/>
        </w:rPr>
      </w:pPr>
    </w:p>
    <w:p w14:paraId="48F5D894" w14:textId="77777777" w:rsidR="00A33DF9" w:rsidRPr="00AE54E4" w:rsidRDefault="00A33DF9">
      <w:pPr>
        <w:rPr>
          <w:rFonts w:cs="Arial"/>
          <w:b/>
          <w:sz w:val="28"/>
          <w:szCs w:val="28"/>
          <w:lang w:val="en-US"/>
        </w:rPr>
      </w:pPr>
    </w:p>
    <w:p w14:paraId="1A827292" w14:textId="77777777" w:rsidR="00A33DF9" w:rsidRPr="00AE54E4" w:rsidRDefault="00A33DF9">
      <w:pPr>
        <w:rPr>
          <w:rFonts w:cs="Arial"/>
          <w:b/>
          <w:sz w:val="28"/>
          <w:szCs w:val="28"/>
          <w:lang w:val="en-US"/>
        </w:rPr>
      </w:pPr>
    </w:p>
    <w:p w14:paraId="1972057C" w14:textId="77777777" w:rsidR="00A33DF9" w:rsidRPr="00AE54E4" w:rsidRDefault="00A33DF9">
      <w:pPr>
        <w:rPr>
          <w:rFonts w:cs="Arial"/>
          <w:b/>
          <w:sz w:val="28"/>
          <w:szCs w:val="28"/>
          <w:lang w:val="en-US"/>
        </w:rPr>
      </w:pPr>
    </w:p>
    <w:p w14:paraId="46493399" w14:textId="77777777" w:rsidR="00A33DF9" w:rsidRPr="00AE54E4" w:rsidRDefault="00A33DF9">
      <w:pPr>
        <w:rPr>
          <w:rFonts w:cs="Arial"/>
          <w:b/>
          <w:sz w:val="28"/>
          <w:szCs w:val="28"/>
          <w:lang w:val="en-US"/>
        </w:rPr>
      </w:pPr>
    </w:p>
    <w:p w14:paraId="014D4E5A" w14:textId="77777777" w:rsidR="00A33DF9" w:rsidRPr="00AE54E4" w:rsidRDefault="00A33DF9">
      <w:pPr>
        <w:rPr>
          <w:rFonts w:cs="Arial"/>
          <w:b/>
          <w:sz w:val="28"/>
          <w:szCs w:val="28"/>
          <w:lang w:val="en-US"/>
        </w:rPr>
      </w:pPr>
    </w:p>
    <w:p w14:paraId="0DC3770A" w14:textId="77777777" w:rsidR="00A33DF9" w:rsidRPr="00AE54E4" w:rsidRDefault="00A33DF9">
      <w:pPr>
        <w:rPr>
          <w:rFonts w:cs="Arial"/>
          <w:b/>
          <w:sz w:val="28"/>
          <w:szCs w:val="28"/>
          <w:lang w:val="en-US"/>
        </w:rPr>
      </w:pPr>
    </w:p>
    <w:p w14:paraId="1EBA71C9" w14:textId="77777777" w:rsidR="00A33DF9" w:rsidRPr="00AE54E4" w:rsidRDefault="00A33DF9">
      <w:pPr>
        <w:rPr>
          <w:rFonts w:cs="Arial"/>
          <w:b/>
          <w:sz w:val="28"/>
          <w:szCs w:val="28"/>
          <w:lang w:val="en-US"/>
        </w:rPr>
      </w:pPr>
    </w:p>
    <w:p w14:paraId="71ABDF01" w14:textId="77777777" w:rsidR="00A33DF9" w:rsidRPr="00AE54E4" w:rsidRDefault="00A33DF9">
      <w:pPr>
        <w:rPr>
          <w:rFonts w:cs="Arial"/>
          <w:b/>
          <w:sz w:val="28"/>
          <w:szCs w:val="28"/>
          <w:lang w:val="en-US"/>
        </w:rPr>
      </w:pPr>
    </w:p>
    <w:p w14:paraId="69972DA6" w14:textId="77777777" w:rsidR="00A33DF9" w:rsidRPr="00AE54E4" w:rsidRDefault="00A33DF9">
      <w:pPr>
        <w:rPr>
          <w:rFonts w:cs="Arial"/>
          <w:b/>
          <w:sz w:val="28"/>
          <w:szCs w:val="28"/>
          <w:lang w:val="en-US"/>
        </w:rPr>
      </w:pPr>
    </w:p>
    <w:p w14:paraId="67BF1A56" w14:textId="77777777" w:rsidR="00A33DF9" w:rsidRPr="00AE54E4" w:rsidRDefault="00A33DF9">
      <w:pPr>
        <w:rPr>
          <w:rFonts w:cs="Arial"/>
          <w:b/>
          <w:sz w:val="28"/>
          <w:szCs w:val="28"/>
          <w:lang w:val="en-US"/>
        </w:rPr>
      </w:pPr>
    </w:p>
    <w:p w14:paraId="296237B3" w14:textId="77777777" w:rsidR="00A33DF9" w:rsidRPr="00AE54E4" w:rsidRDefault="00A33DF9">
      <w:pPr>
        <w:rPr>
          <w:rFonts w:cs="Arial"/>
          <w:b/>
          <w:sz w:val="28"/>
          <w:szCs w:val="28"/>
          <w:lang w:val="en-US"/>
        </w:rPr>
      </w:pPr>
    </w:p>
    <w:p w14:paraId="37FF9B6E" w14:textId="77777777" w:rsidR="00A33DF9" w:rsidRPr="00AE54E4" w:rsidRDefault="00A33DF9">
      <w:pPr>
        <w:rPr>
          <w:rFonts w:cs="Arial"/>
          <w:b/>
          <w:sz w:val="28"/>
          <w:szCs w:val="28"/>
          <w:lang w:val="en-US"/>
        </w:rPr>
      </w:pPr>
    </w:p>
    <w:p w14:paraId="63FA96C9" w14:textId="036BFA22" w:rsidR="00A33DF9" w:rsidRPr="00AE54E4" w:rsidRDefault="00A33DF9">
      <w:pPr>
        <w:rPr>
          <w:rFonts w:cs="Arial"/>
          <w:b/>
          <w:sz w:val="28"/>
          <w:szCs w:val="28"/>
          <w:lang w:val="en-US"/>
        </w:rPr>
      </w:pPr>
    </w:p>
    <w:p w14:paraId="1F779655" w14:textId="77777777" w:rsidR="00A33DF9" w:rsidRPr="00AE54E4" w:rsidRDefault="00A33DF9">
      <w:pPr>
        <w:rPr>
          <w:rFonts w:cs="Arial"/>
          <w:b/>
          <w:sz w:val="28"/>
          <w:szCs w:val="28"/>
          <w:lang w:val="en-US"/>
        </w:rPr>
      </w:pPr>
    </w:p>
    <w:p w14:paraId="49CEF147" w14:textId="77777777" w:rsidR="00A33DF9" w:rsidRPr="00AE54E4" w:rsidRDefault="00A33DF9">
      <w:pPr>
        <w:rPr>
          <w:rFonts w:cs="Arial"/>
          <w:b/>
          <w:sz w:val="28"/>
          <w:szCs w:val="28"/>
          <w:lang w:val="en-US"/>
        </w:rPr>
      </w:pPr>
    </w:p>
    <w:p w14:paraId="230B05B0" w14:textId="77777777" w:rsidR="00A33DF9" w:rsidRPr="00AE54E4" w:rsidRDefault="00A33DF9">
      <w:pPr>
        <w:rPr>
          <w:rFonts w:cs="Arial"/>
          <w:b/>
          <w:sz w:val="28"/>
          <w:szCs w:val="28"/>
          <w:lang w:val="en-US"/>
        </w:rPr>
      </w:pPr>
    </w:p>
    <w:p w14:paraId="78E6030E" w14:textId="77777777" w:rsidR="00A33DF9" w:rsidRPr="00AE54E4" w:rsidRDefault="00A33DF9">
      <w:pPr>
        <w:rPr>
          <w:rFonts w:cs="Arial"/>
          <w:b/>
          <w:sz w:val="28"/>
          <w:szCs w:val="28"/>
          <w:lang w:val="en-US"/>
        </w:rPr>
      </w:pPr>
    </w:p>
    <w:p w14:paraId="2B103349" w14:textId="77777777" w:rsidR="00A33DF9" w:rsidRPr="00AE54E4" w:rsidRDefault="00A33DF9">
      <w:pPr>
        <w:rPr>
          <w:rFonts w:cs="Arial"/>
          <w:b/>
          <w:sz w:val="28"/>
          <w:szCs w:val="28"/>
          <w:lang w:val="en-US"/>
        </w:rPr>
      </w:pPr>
    </w:p>
    <w:p w14:paraId="153E08AB" w14:textId="4FF85430" w:rsidR="004B751E" w:rsidRPr="00AE54E4" w:rsidRDefault="004B751E" w:rsidP="00C8442B">
      <w:pPr>
        <w:jc w:val="center"/>
        <w:rPr>
          <w:rFonts w:cs="Arial"/>
          <w:b/>
          <w:sz w:val="36"/>
          <w:szCs w:val="36"/>
          <w:lang w:val="en-US"/>
        </w:rPr>
      </w:pPr>
      <w:r w:rsidRPr="00AE54E4">
        <w:rPr>
          <w:rFonts w:cs="Arial"/>
          <w:b/>
          <w:sz w:val="36"/>
          <w:szCs w:val="36"/>
          <w:lang w:val="en-US"/>
        </w:rPr>
        <w:lastRenderedPageBreak/>
        <w:t>GOSPORT BOROUGH COUNCIL/                 DEFENCE INFRASTRUCTURE ORGANISATION</w:t>
      </w:r>
    </w:p>
    <w:p w14:paraId="609A2256" w14:textId="77777777" w:rsidR="004B751E" w:rsidRPr="00AE54E4" w:rsidRDefault="004B751E" w:rsidP="00C8442B">
      <w:pPr>
        <w:jc w:val="center"/>
        <w:rPr>
          <w:rFonts w:cs="Arial"/>
          <w:b/>
          <w:sz w:val="36"/>
          <w:szCs w:val="36"/>
          <w:lang w:val="en-US"/>
        </w:rPr>
      </w:pPr>
    </w:p>
    <w:p w14:paraId="582731AE" w14:textId="77777777" w:rsidR="004B751E" w:rsidRPr="00AE54E4" w:rsidRDefault="004B751E" w:rsidP="00C8442B">
      <w:pPr>
        <w:jc w:val="center"/>
        <w:rPr>
          <w:rFonts w:cs="Arial"/>
          <w:b/>
          <w:sz w:val="36"/>
          <w:szCs w:val="36"/>
          <w:lang w:val="en-US"/>
        </w:rPr>
      </w:pPr>
    </w:p>
    <w:p w14:paraId="775FDDCC" w14:textId="77777777" w:rsidR="004B751E" w:rsidRPr="00AE54E4" w:rsidRDefault="004B751E" w:rsidP="00C8442B">
      <w:pPr>
        <w:jc w:val="center"/>
        <w:rPr>
          <w:rFonts w:cs="Arial"/>
          <w:b/>
          <w:sz w:val="36"/>
          <w:szCs w:val="36"/>
          <w:lang w:val="en-US"/>
        </w:rPr>
      </w:pPr>
    </w:p>
    <w:p w14:paraId="23CC3C69" w14:textId="77777777" w:rsidR="004B751E" w:rsidRPr="00AE54E4" w:rsidRDefault="004B751E" w:rsidP="00C8442B">
      <w:pPr>
        <w:jc w:val="center"/>
        <w:rPr>
          <w:rFonts w:cs="Arial"/>
          <w:b/>
          <w:sz w:val="36"/>
          <w:szCs w:val="36"/>
          <w:lang w:val="en-US"/>
        </w:rPr>
      </w:pPr>
      <w:r w:rsidRPr="00AE54E4">
        <w:rPr>
          <w:rFonts w:cs="Arial"/>
          <w:b/>
          <w:sz w:val="36"/>
          <w:szCs w:val="36"/>
          <w:lang w:val="en-US"/>
        </w:rPr>
        <w:t xml:space="preserve">Submarine Escape Training Tower (SETT) </w:t>
      </w:r>
    </w:p>
    <w:p w14:paraId="178BBB6F" w14:textId="76728E5B" w:rsidR="00C8442B" w:rsidRPr="00AE54E4" w:rsidRDefault="004B751E" w:rsidP="00C8442B">
      <w:pPr>
        <w:jc w:val="center"/>
        <w:rPr>
          <w:rFonts w:cs="Arial"/>
          <w:b/>
          <w:sz w:val="36"/>
          <w:szCs w:val="36"/>
          <w:lang w:val="en-US"/>
        </w:rPr>
      </w:pPr>
      <w:r w:rsidRPr="00AE54E4">
        <w:rPr>
          <w:rFonts w:cs="Arial"/>
          <w:b/>
          <w:sz w:val="36"/>
          <w:szCs w:val="36"/>
          <w:lang w:val="en-US"/>
        </w:rPr>
        <w:t>Study Brief</w:t>
      </w:r>
    </w:p>
    <w:p w14:paraId="467A00F8" w14:textId="77777777" w:rsidR="004B751E" w:rsidRPr="00AE54E4" w:rsidRDefault="004B751E" w:rsidP="00C8442B">
      <w:pPr>
        <w:jc w:val="center"/>
        <w:rPr>
          <w:rFonts w:cs="Arial"/>
          <w:b/>
          <w:sz w:val="36"/>
          <w:szCs w:val="36"/>
          <w:lang w:val="en-US"/>
        </w:rPr>
      </w:pPr>
    </w:p>
    <w:p w14:paraId="4D6A8479" w14:textId="77777777" w:rsidR="00532EC3" w:rsidRPr="00AE54E4" w:rsidRDefault="00532EC3">
      <w:pPr>
        <w:rPr>
          <w:rFonts w:cs="Arial"/>
          <w:lang w:val="en-US"/>
        </w:rPr>
      </w:pPr>
    </w:p>
    <w:p w14:paraId="0A68EF0D" w14:textId="77777777" w:rsidR="00532EC3" w:rsidRPr="00AE54E4" w:rsidRDefault="00532EC3">
      <w:pPr>
        <w:rPr>
          <w:rFonts w:cs="Arial"/>
          <w:lang w:val="en-US"/>
        </w:rPr>
      </w:pPr>
    </w:p>
    <w:sdt>
      <w:sdtPr>
        <w:rPr>
          <w:rFonts w:eastAsiaTheme="minorHAnsi" w:cstheme="minorBidi"/>
          <w:b w:val="0"/>
          <w:sz w:val="24"/>
          <w:szCs w:val="22"/>
          <w:lang w:val="en-GB"/>
        </w:rPr>
        <w:id w:val="-474140689"/>
        <w:docPartObj>
          <w:docPartGallery w:val="Table of Contents"/>
          <w:docPartUnique/>
        </w:docPartObj>
      </w:sdtPr>
      <w:sdtEndPr>
        <w:rPr>
          <w:bCs/>
          <w:noProof/>
        </w:rPr>
      </w:sdtEndPr>
      <w:sdtContent>
        <w:p w14:paraId="296BFB41" w14:textId="289A95A1" w:rsidR="00AE54E4" w:rsidRDefault="00AE54E4">
          <w:pPr>
            <w:pStyle w:val="TOCHeading"/>
            <w:rPr>
              <w:rFonts w:cs="Arial"/>
              <w:sz w:val="24"/>
              <w:szCs w:val="24"/>
            </w:rPr>
          </w:pPr>
          <w:r w:rsidRPr="00AE54E4">
            <w:rPr>
              <w:rFonts w:cs="Arial"/>
              <w:sz w:val="24"/>
              <w:szCs w:val="24"/>
            </w:rPr>
            <w:t>Contents</w:t>
          </w:r>
          <w:r>
            <w:rPr>
              <w:rFonts w:cs="Arial"/>
              <w:sz w:val="24"/>
              <w:szCs w:val="24"/>
            </w:rPr>
            <w:t xml:space="preserve"> of this ITQ</w:t>
          </w:r>
        </w:p>
        <w:p w14:paraId="26DE3D0F" w14:textId="77777777" w:rsidR="00AE54E4" w:rsidRPr="00AE54E4" w:rsidRDefault="00AE54E4" w:rsidP="00AE54E4">
          <w:pPr>
            <w:rPr>
              <w:lang w:val="en-US"/>
            </w:rPr>
          </w:pPr>
        </w:p>
        <w:p w14:paraId="30AA3073" w14:textId="30E524D5" w:rsidR="00AE54E4" w:rsidRPr="00AE54E4" w:rsidRDefault="00AE54E4">
          <w:pPr>
            <w:pStyle w:val="TOC1"/>
            <w:tabs>
              <w:tab w:val="right" w:leader="dot" w:pos="9016"/>
            </w:tabs>
            <w:rPr>
              <w:rFonts w:eastAsiaTheme="minorEastAsia" w:cs="Arial"/>
              <w:b/>
              <w:noProof/>
              <w:szCs w:val="24"/>
              <w:lang w:eastAsia="en-GB"/>
            </w:rPr>
          </w:pPr>
          <w:r w:rsidRPr="00AE54E4">
            <w:rPr>
              <w:rFonts w:cs="Arial"/>
              <w:b/>
              <w:szCs w:val="24"/>
            </w:rPr>
            <w:fldChar w:fldCharType="begin"/>
          </w:r>
          <w:r w:rsidRPr="00AE54E4">
            <w:rPr>
              <w:rFonts w:cs="Arial"/>
              <w:b/>
              <w:szCs w:val="24"/>
            </w:rPr>
            <w:instrText xml:space="preserve"> TOC \o "1-3" \h \z \u </w:instrText>
          </w:r>
          <w:r w:rsidRPr="00AE54E4">
            <w:rPr>
              <w:rFonts w:cs="Arial"/>
              <w:b/>
              <w:szCs w:val="24"/>
            </w:rPr>
            <w:fldChar w:fldCharType="separate"/>
          </w:r>
          <w:hyperlink w:anchor="_Toc125379454" w:history="1">
            <w:r w:rsidRPr="00AE54E4">
              <w:rPr>
                <w:rStyle w:val="Hyperlink"/>
                <w:rFonts w:cs="Arial"/>
                <w:b/>
                <w:noProof/>
                <w:szCs w:val="24"/>
                <w:lang w:val="en-US"/>
              </w:rPr>
              <w:t>Summary</w:t>
            </w:r>
            <w:r w:rsidRPr="00AE54E4">
              <w:rPr>
                <w:rFonts w:cs="Arial"/>
                <w:b/>
                <w:noProof/>
                <w:webHidden/>
                <w:szCs w:val="24"/>
              </w:rPr>
              <w:tab/>
            </w:r>
            <w:r w:rsidRPr="00AE54E4">
              <w:rPr>
                <w:rFonts w:cs="Arial"/>
                <w:b/>
                <w:noProof/>
                <w:webHidden/>
                <w:szCs w:val="24"/>
              </w:rPr>
              <w:fldChar w:fldCharType="begin"/>
            </w:r>
            <w:r w:rsidRPr="00AE54E4">
              <w:rPr>
                <w:rFonts w:cs="Arial"/>
                <w:b/>
                <w:noProof/>
                <w:webHidden/>
                <w:szCs w:val="24"/>
              </w:rPr>
              <w:instrText xml:space="preserve"> PAGEREF _Toc125379454 \h </w:instrText>
            </w:r>
            <w:r w:rsidRPr="00AE54E4">
              <w:rPr>
                <w:rFonts w:cs="Arial"/>
                <w:b/>
                <w:noProof/>
                <w:webHidden/>
                <w:szCs w:val="24"/>
              </w:rPr>
            </w:r>
            <w:r w:rsidRPr="00AE54E4">
              <w:rPr>
                <w:rFonts w:cs="Arial"/>
                <w:b/>
                <w:noProof/>
                <w:webHidden/>
                <w:szCs w:val="24"/>
              </w:rPr>
              <w:fldChar w:fldCharType="separate"/>
            </w:r>
            <w:r w:rsidR="00342ED4">
              <w:rPr>
                <w:rFonts w:cs="Arial"/>
                <w:b/>
                <w:noProof/>
                <w:webHidden/>
                <w:szCs w:val="24"/>
              </w:rPr>
              <w:t>3</w:t>
            </w:r>
            <w:r w:rsidRPr="00AE54E4">
              <w:rPr>
                <w:rFonts w:cs="Arial"/>
                <w:b/>
                <w:noProof/>
                <w:webHidden/>
                <w:szCs w:val="24"/>
              </w:rPr>
              <w:fldChar w:fldCharType="end"/>
            </w:r>
          </w:hyperlink>
        </w:p>
        <w:p w14:paraId="0C118B8A" w14:textId="733156E3" w:rsidR="00AE54E4" w:rsidRPr="00AE54E4" w:rsidRDefault="00E0198A">
          <w:pPr>
            <w:pStyle w:val="TOC1"/>
            <w:tabs>
              <w:tab w:val="left" w:pos="660"/>
              <w:tab w:val="right" w:leader="dot" w:pos="9016"/>
            </w:tabs>
            <w:rPr>
              <w:rFonts w:eastAsiaTheme="minorEastAsia" w:cs="Arial"/>
              <w:b/>
              <w:noProof/>
              <w:szCs w:val="24"/>
              <w:lang w:eastAsia="en-GB"/>
            </w:rPr>
          </w:pPr>
          <w:hyperlink w:anchor="_Toc125379455" w:history="1">
            <w:r w:rsidR="00AE54E4" w:rsidRPr="00AE54E4">
              <w:rPr>
                <w:rStyle w:val="Hyperlink"/>
                <w:rFonts w:cs="Arial"/>
                <w:b/>
                <w:noProof/>
                <w:szCs w:val="24"/>
                <w:lang w:val="en-US"/>
              </w:rPr>
              <w:t>1.0</w:t>
            </w:r>
            <w:r w:rsidR="00AE54E4" w:rsidRPr="00AE54E4">
              <w:rPr>
                <w:rFonts w:eastAsiaTheme="minorEastAsia" w:cs="Arial"/>
                <w:b/>
                <w:noProof/>
                <w:szCs w:val="24"/>
                <w:lang w:eastAsia="en-GB"/>
              </w:rPr>
              <w:tab/>
            </w:r>
            <w:r w:rsidR="00AE54E4" w:rsidRPr="00AE54E4">
              <w:rPr>
                <w:rStyle w:val="Hyperlink"/>
                <w:rFonts w:cs="Arial"/>
                <w:b/>
                <w:noProof/>
                <w:szCs w:val="24"/>
                <w:lang w:val="en-US"/>
              </w:rPr>
              <w:t>INTRODUCTION and CONTEXT</w:t>
            </w:r>
            <w:r w:rsidR="00AE54E4" w:rsidRPr="00AE54E4">
              <w:rPr>
                <w:rFonts w:cs="Arial"/>
                <w:b/>
                <w:noProof/>
                <w:webHidden/>
                <w:szCs w:val="24"/>
              </w:rPr>
              <w:tab/>
            </w:r>
            <w:r w:rsidR="00AE54E4" w:rsidRPr="00AE54E4">
              <w:rPr>
                <w:rFonts w:cs="Arial"/>
                <w:b/>
                <w:noProof/>
                <w:webHidden/>
                <w:szCs w:val="24"/>
              </w:rPr>
              <w:fldChar w:fldCharType="begin"/>
            </w:r>
            <w:r w:rsidR="00AE54E4" w:rsidRPr="00AE54E4">
              <w:rPr>
                <w:rFonts w:cs="Arial"/>
                <w:b/>
                <w:noProof/>
                <w:webHidden/>
                <w:szCs w:val="24"/>
              </w:rPr>
              <w:instrText xml:space="preserve"> PAGEREF _Toc125379455 \h </w:instrText>
            </w:r>
            <w:r w:rsidR="00AE54E4" w:rsidRPr="00AE54E4">
              <w:rPr>
                <w:rFonts w:cs="Arial"/>
                <w:b/>
                <w:noProof/>
                <w:webHidden/>
                <w:szCs w:val="24"/>
              </w:rPr>
            </w:r>
            <w:r w:rsidR="00AE54E4" w:rsidRPr="00AE54E4">
              <w:rPr>
                <w:rFonts w:cs="Arial"/>
                <w:b/>
                <w:noProof/>
                <w:webHidden/>
                <w:szCs w:val="24"/>
              </w:rPr>
              <w:fldChar w:fldCharType="separate"/>
            </w:r>
            <w:r w:rsidR="00342ED4">
              <w:rPr>
                <w:rFonts w:cs="Arial"/>
                <w:b/>
                <w:noProof/>
                <w:webHidden/>
                <w:szCs w:val="24"/>
              </w:rPr>
              <w:t>4</w:t>
            </w:r>
            <w:r w:rsidR="00AE54E4" w:rsidRPr="00AE54E4">
              <w:rPr>
                <w:rFonts w:cs="Arial"/>
                <w:b/>
                <w:noProof/>
                <w:webHidden/>
                <w:szCs w:val="24"/>
              </w:rPr>
              <w:fldChar w:fldCharType="end"/>
            </w:r>
          </w:hyperlink>
        </w:p>
        <w:p w14:paraId="1822E5DB" w14:textId="7ABA9225" w:rsidR="00AE54E4" w:rsidRPr="00AE54E4" w:rsidRDefault="00E0198A">
          <w:pPr>
            <w:pStyle w:val="TOC1"/>
            <w:tabs>
              <w:tab w:val="left" w:pos="660"/>
              <w:tab w:val="right" w:leader="dot" w:pos="9016"/>
            </w:tabs>
            <w:rPr>
              <w:rFonts w:eastAsiaTheme="minorEastAsia" w:cs="Arial"/>
              <w:b/>
              <w:noProof/>
              <w:szCs w:val="24"/>
              <w:lang w:eastAsia="en-GB"/>
            </w:rPr>
          </w:pPr>
          <w:hyperlink w:anchor="_Toc125379456" w:history="1">
            <w:r w:rsidR="00AE54E4" w:rsidRPr="00AE54E4">
              <w:rPr>
                <w:rStyle w:val="Hyperlink"/>
                <w:rFonts w:cs="Arial"/>
                <w:b/>
                <w:noProof/>
                <w:szCs w:val="24"/>
                <w:lang w:val="en-US"/>
              </w:rPr>
              <w:t>2.0</w:t>
            </w:r>
            <w:r w:rsidR="00AE54E4" w:rsidRPr="00AE54E4">
              <w:rPr>
                <w:rFonts w:eastAsiaTheme="minorEastAsia" w:cs="Arial"/>
                <w:b/>
                <w:noProof/>
                <w:szCs w:val="24"/>
                <w:lang w:eastAsia="en-GB"/>
              </w:rPr>
              <w:tab/>
            </w:r>
            <w:r w:rsidR="00AE54E4" w:rsidRPr="00AE54E4">
              <w:rPr>
                <w:rStyle w:val="Hyperlink"/>
                <w:rFonts w:cs="Arial"/>
                <w:b/>
                <w:noProof/>
                <w:szCs w:val="24"/>
                <w:lang w:val="en-US"/>
              </w:rPr>
              <w:t>PROJECT SCOPE AND REQUIREMENTS</w:t>
            </w:r>
            <w:r w:rsidR="00AE54E4" w:rsidRPr="00AE54E4">
              <w:rPr>
                <w:rFonts w:cs="Arial"/>
                <w:b/>
                <w:noProof/>
                <w:webHidden/>
                <w:szCs w:val="24"/>
              </w:rPr>
              <w:tab/>
            </w:r>
            <w:r w:rsidR="00AE54E4" w:rsidRPr="00AE54E4">
              <w:rPr>
                <w:rFonts w:cs="Arial"/>
                <w:b/>
                <w:noProof/>
                <w:webHidden/>
                <w:szCs w:val="24"/>
              </w:rPr>
              <w:fldChar w:fldCharType="begin"/>
            </w:r>
            <w:r w:rsidR="00AE54E4" w:rsidRPr="00AE54E4">
              <w:rPr>
                <w:rFonts w:cs="Arial"/>
                <w:b/>
                <w:noProof/>
                <w:webHidden/>
                <w:szCs w:val="24"/>
              </w:rPr>
              <w:instrText xml:space="preserve"> PAGEREF _Toc125379456 \h </w:instrText>
            </w:r>
            <w:r w:rsidR="00AE54E4" w:rsidRPr="00AE54E4">
              <w:rPr>
                <w:rFonts w:cs="Arial"/>
                <w:b/>
                <w:noProof/>
                <w:webHidden/>
                <w:szCs w:val="24"/>
              </w:rPr>
            </w:r>
            <w:r w:rsidR="00AE54E4" w:rsidRPr="00AE54E4">
              <w:rPr>
                <w:rFonts w:cs="Arial"/>
                <w:b/>
                <w:noProof/>
                <w:webHidden/>
                <w:szCs w:val="24"/>
              </w:rPr>
              <w:fldChar w:fldCharType="separate"/>
            </w:r>
            <w:r w:rsidR="00342ED4">
              <w:rPr>
                <w:rFonts w:cs="Arial"/>
                <w:b/>
                <w:noProof/>
                <w:webHidden/>
                <w:szCs w:val="24"/>
              </w:rPr>
              <w:t>8</w:t>
            </w:r>
            <w:r w:rsidR="00AE54E4" w:rsidRPr="00AE54E4">
              <w:rPr>
                <w:rFonts w:cs="Arial"/>
                <w:b/>
                <w:noProof/>
                <w:webHidden/>
                <w:szCs w:val="24"/>
              </w:rPr>
              <w:fldChar w:fldCharType="end"/>
            </w:r>
          </w:hyperlink>
        </w:p>
        <w:p w14:paraId="0DD8C94B" w14:textId="3999CEF6" w:rsidR="00AE54E4" w:rsidRPr="00AE54E4" w:rsidRDefault="00E0198A">
          <w:pPr>
            <w:pStyle w:val="TOC1"/>
            <w:tabs>
              <w:tab w:val="left" w:pos="660"/>
              <w:tab w:val="right" w:leader="dot" w:pos="9016"/>
            </w:tabs>
            <w:rPr>
              <w:rFonts w:eastAsiaTheme="minorEastAsia" w:cs="Arial"/>
              <w:b/>
              <w:noProof/>
              <w:szCs w:val="24"/>
              <w:lang w:eastAsia="en-GB"/>
            </w:rPr>
          </w:pPr>
          <w:hyperlink w:anchor="_Toc125379457" w:history="1">
            <w:r w:rsidR="00AE54E4" w:rsidRPr="00AE54E4">
              <w:rPr>
                <w:rStyle w:val="Hyperlink"/>
                <w:rFonts w:cs="Arial"/>
                <w:b/>
                <w:noProof/>
                <w:szCs w:val="24"/>
                <w:lang w:val="en-US"/>
              </w:rPr>
              <w:t>3.0</w:t>
            </w:r>
            <w:r w:rsidR="00AE54E4" w:rsidRPr="00AE54E4">
              <w:rPr>
                <w:rFonts w:eastAsiaTheme="minorEastAsia" w:cs="Arial"/>
                <w:b/>
                <w:noProof/>
                <w:szCs w:val="24"/>
                <w:lang w:eastAsia="en-GB"/>
              </w:rPr>
              <w:tab/>
            </w:r>
            <w:r w:rsidR="00AE54E4" w:rsidRPr="00AE54E4">
              <w:rPr>
                <w:rStyle w:val="Hyperlink"/>
                <w:rFonts w:cs="Arial"/>
                <w:b/>
                <w:noProof/>
                <w:szCs w:val="24"/>
                <w:lang w:val="en-US"/>
              </w:rPr>
              <w:t>TIMETABLE</w:t>
            </w:r>
            <w:r w:rsidR="00AE54E4" w:rsidRPr="00AE54E4">
              <w:rPr>
                <w:rFonts w:cs="Arial"/>
                <w:b/>
                <w:noProof/>
                <w:webHidden/>
                <w:szCs w:val="24"/>
              </w:rPr>
              <w:tab/>
            </w:r>
            <w:r w:rsidR="00AE54E4" w:rsidRPr="00AE54E4">
              <w:rPr>
                <w:rFonts w:cs="Arial"/>
                <w:b/>
                <w:noProof/>
                <w:webHidden/>
                <w:szCs w:val="24"/>
              </w:rPr>
              <w:fldChar w:fldCharType="begin"/>
            </w:r>
            <w:r w:rsidR="00AE54E4" w:rsidRPr="00AE54E4">
              <w:rPr>
                <w:rFonts w:cs="Arial"/>
                <w:b/>
                <w:noProof/>
                <w:webHidden/>
                <w:szCs w:val="24"/>
              </w:rPr>
              <w:instrText xml:space="preserve"> PAGEREF _Toc125379457 \h </w:instrText>
            </w:r>
            <w:r w:rsidR="00AE54E4" w:rsidRPr="00AE54E4">
              <w:rPr>
                <w:rFonts w:cs="Arial"/>
                <w:b/>
                <w:noProof/>
                <w:webHidden/>
                <w:szCs w:val="24"/>
              </w:rPr>
            </w:r>
            <w:r w:rsidR="00AE54E4" w:rsidRPr="00AE54E4">
              <w:rPr>
                <w:rFonts w:cs="Arial"/>
                <w:b/>
                <w:noProof/>
                <w:webHidden/>
                <w:szCs w:val="24"/>
              </w:rPr>
              <w:fldChar w:fldCharType="separate"/>
            </w:r>
            <w:r w:rsidR="00342ED4">
              <w:rPr>
                <w:rFonts w:cs="Arial"/>
                <w:b/>
                <w:noProof/>
                <w:webHidden/>
                <w:szCs w:val="24"/>
              </w:rPr>
              <w:t>14</w:t>
            </w:r>
            <w:r w:rsidR="00AE54E4" w:rsidRPr="00AE54E4">
              <w:rPr>
                <w:rFonts w:cs="Arial"/>
                <w:b/>
                <w:noProof/>
                <w:webHidden/>
                <w:szCs w:val="24"/>
              </w:rPr>
              <w:fldChar w:fldCharType="end"/>
            </w:r>
          </w:hyperlink>
        </w:p>
        <w:p w14:paraId="50AF07B4" w14:textId="572C9028" w:rsidR="00AE54E4" w:rsidRPr="00AE54E4" w:rsidRDefault="00E0198A">
          <w:pPr>
            <w:pStyle w:val="TOC1"/>
            <w:tabs>
              <w:tab w:val="left" w:pos="660"/>
              <w:tab w:val="right" w:leader="dot" w:pos="9016"/>
            </w:tabs>
            <w:rPr>
              <w:rFonts w:eastAsiaTheme="minorEastAsia" w:cs="Arial"/>
              <w:b/>
              <w:noProof/>
              <w:szCs w:val="24"/>
              <w:lang w:eastAsia="en-GB"/>
            </w:rPr>
          </w:pPr>
          <w:hyperlink w:anchor="_Toc125379458" w:history="1">
            <w:r w:rsidR="00AE54E4" w:rsidRPr="00AE54E4">
              <w:rPr>
                <w:rStyle w:val="Hyperlink"/>
                <w:rFonts w:cs="Arial"/>
                <w:b/>
                <w:noProof/>
                <w:szCs w:val="24"/>
                <w:lang w:val="en-US"/>
              </w:rPr>
              <w:t>4.0</w:t>
            </w:r>
            <w:r w:rsidR="00AE54E4" w:rsidRPr="00AE54E4">
              <w:rPr>
                <w:rFonts w:eastAsiaTheme="minorEastAsia" w:cs="Arial"/>
                <w:b/>
                <w:noProof/>
                <w:szCs w:val="24"/>
                <w:lang w:eastAsia="en-GB"/>
              </w:rPr>
              <w:tab/>
            </w:r>
            <w:r w:rsidR="00AE54E4" w:rsidRPr="00AE54E4">
              <w:rPr>
                <w:rStyle w:val="Hyperlink"/>
                <w:rFonts w:cs="Arial"/>
                <w:b/>
                <w:noProof/>
                <w:szCs w:val="24"/>
                <w:lang w:val="en-US"/>
              </w:rPr>
              <w:t>QUOTE COMPLETION INFORMATION</w:t>
            </w:r>
            <w:r w:rsidR="00AE54E4" w:rsidRPr="00AE54E4">
              <w:rPr>
                <w:rFonts w:cs="Arial"/>
                <w:b/>
                <w:noProof/>
                <w:webHidden/>
                <w:szCs w:val="24"/>
              </w:rPr>
              <w:tab/>
            </w:r>
            <w:r w:rsidR="00AE54E4" w:rsidRPr="00AE54E4">
              <w:rPr>
                <w:rFonts w:cs="Arial"/>
                <w:b/>
                <w:noProof/>
                <w:webHidden/>
                <w:szCs w:val="24"/>
              </w:rPr>
              <w:fldChar w:fldCharType="begin"/>
            </w:r>
            <w:r w:rsidR="00AE54E4" w:rsidRPr="00AE54E4">
              <w:rPr>
                <w:rFonts w:cs="Arial"/>
                <w:b/>
                <w:noProof/>
                <w:webHidden/>
                <w:szCs w:val="24"/>
              </w:rPr>
              <w:instrText xml:space="preserve"> PAGEREF _Toc125379458 \h </w:instrText>
            </w:r>
            <w:r w:rsidR="00AE54E4" w:rsidRPr="00AE54E4">
              <w:rPr>
                <w:rFonts w:cs="Arial"/>
                <w:b/>
                <w:noProof/>
                <w:webHidden/>
                <w:szCs w:val="24"/>
              </w:rPr>
            </w:r>
            <w:r w:rsidR="00AE54E4" w:rsidRPr="00AE54E4">
              <w:rPr>
                <w:rFonts w:cs="Arial"/>
                <w:b/>
                <w:noProof/>
                <w:webHidden/>
                <w:szCs w:val="24"/>
              </w:rPr>
              <w:fldChar w:fldCharType="separate"/>
            </w:r>
            <w:r w:rsidR="00342ED4">
              <w:rPr>
                <w:rFonts w:cs="Arial"/>
                <w:b/>
                <w:noProof/>
                <w:webHidden/>
                <w:szCs w:val="24"/>
              </w:rPr>
              <w:t>16</w:t>
            </w:r>
            <w:r w:rsidR="00AE54E4" w:rsidRPr="00AE54E4">
              <w:rPr>
                <w:rFonts w:cs="Arial"/>
                <w:b/>
                <w:noProof/>
                <w:webHidden/>
                <w:szCs w:val="24"/>
              </w:rPr>
              <w:fldChar w:fldCharType="end"/>
            </w:r>
          </w:hyperlink>
        </w:p>
        <w:p w14:paraId="65C76CD7" w14:textId="0689E817" w:rsidR="00AE54E4" w:rsidRPr="00AE54E4" w:rsidRDefault="00E0198A">
          <w:pPr>
            <w:pStyle w:val="TOC1"/>
            <w:tabs>
              <w:tab w:val="left" w:pos="660"/>
              <w:tab w:val="right" w:leader="dot" w:pos="9016"/>
            </w:tabs>
            <w:rPr>
              <w:rFonts w:eastAsiaTheme="minorEastAsia" w:cs="Arial"/>
              <w:b/>
              <w:noProof/>
              <w:szCs w:val="24"/>
              <w:lang w:eastAsia="en-GB"/>
            </w:rPr>
          </w:pPr>
          <w:hyperlink w:anchor="_Toc125379459" w:history="1">
            <w:r w:rsidR="00AE54E4" w:rsidRPr="00AE54E4">
              <w:rPr>
                <w:rStyle w:val="Hyperlink"/>
                <w:rFonts w:cs="Arial"/>
                <w:b/>
                <w:noProof/>
                <w:szCs w:val="24"/>
                <w:lang w:val="en-US"/>
              </w:rPr>
              <w:t>5.0</w:t>
            </w:r>
            <w:r w:rsidR="00AE54E4" w:rsidRPr="00AE54E4">
              <w:rPr>
                <w:rFonts w:eastAsiaTheme="minorEastAsia" w:cs="Arial"/>
                <w:b/>
                <w:noProof/>
                <w:szCs w:val="24"/>
                <w:lang w:eastAsia="en-GB"/>
              </w:rPr>
              <w:tab/>
            </w:r>
            <w:r w:rsidR="00AE54E4" w:rsidRPr="00AE54E4">
              <w:rPr>
                <w:rStyle w:val="Hyperlink"/>
                <w:rFonts w:cs="Arial"/>
                <w:b/>
                <w:noProof/>
                <w:szCs w:val="24"/>
                <w:lang w:val="en-US"/>
              </w:rPr>
              <w:t>QUOTE EVALUATION MODEL</w:t>
            </w:r>
            <w:r w:rsidR="00AE54E4" w:rsidRPr="00AE54E4">
              <w:rPr>
                <w:rFonts w:cs="Arial"/>
                <w:b/>
                <w:noProof/>
                <w:webHidden/>
                <w:szCs w:val="24"/>
              </w:rPr>
              <w:tab/>
            </w:r>
            <w:r w:rsidR="00AE54E4" w:rsidRPr="00AE54E4">
              <w:rPr>
                <w:rFonts w:cs="Arial"/>
                <w:b/>
                <w:noProof/>
                <w:webHidden/>
                <w:szCs w:val="24"/>
              </w:rPr>
              <w:fldChar w:fldCharType="begin"/>
            </w:r>
            <w:r w:rsidR="00AE54E4" w:rsidRPr="00AE54E4">
              <w:rPr>
                <w:rFonts w:cs="Arial"/>
                <w:b/>
                <w:noProof/>
                <w:webHidden/>
                <w:szCs w:val="24"/>
              </w:rPr>
              <w:instrText xml:space="preserve"> PAGEREF _Toc125379459 \h </w:instrText>
            </w:r>
            <w:r w:rsidR="00AE54E4" w:rsidRPr="00AE54E4">
              <w:rPr>
                <w:rFonts w:cs="Arial"/>
                <w:b/>
                <w:noProof/>
                <w:webHidden/>
                <w:szCs w:val="24"/>
              </w:rPr>
            </w:r>
            <w:r w:rsidR="00AE54E4" w:rsidRPr="00AE54E4">
              <w:rPr>
                <w:rFonts w:cs="Arial"/>
                <w:b/>
                <w:noProof/>
                <w:webHidden/>
                <w:szCs w:val="24"/>
              </w:rPr>
              <w:fldChar w:fldCharType="separate"/>
            </w:r>
            <w:r w:rsidR="00342ED4">
              <w:rPr>
                <w:rFonts w:cs="Arial"/>
                <w:b/>
                <w:noProof/>
                <w:webHidden/>
                <w:szCs w:val="24"/>
              </w:rPr>
              <w:t>22</w:t>
            </w:r>
            <w:r w:rsidR="00AE54E4" w:rsidRPr="00AE54E4">
              <w:rPr>
                <w:rFonts w:cs="Arial"/>
                <w:b/>
                <w:noProof/>
                <w:webHidden/>
                <w:szCs w:val="24"/>
              </w:rPr>
              <w:fldChar w:fldCharType="end"/>
            </w:r>
          </w:hyperlink>
        </w:p>
        <w:p w14:paraId="2EA755E3" w14:textId="61B2638E" w:rsidR="00AE54E4" w:rsidRPr="00AE54E4" w:rsidRDefault="00E0198A">
          <w:pPr>
            <w:pStyle w:val="TOC1"/>
            <w:tabs>
              <w:tab w:val="left" w:pos="660"/>
              <w:tab w:val="right" w:leader="dot" w:pos="9016"/>
            </w:tabs>
            <w:rPr>
              <w:rFonts w:eastAsiaTheme="minorEastAsia" w:cs="Arial"/>
              <w:b/>
              <w:noProof/>
              <w:szCs w:val="24"/>
              <w:lang w:eastAsia="en-GB"/>
            </w:rPr>
          </w:pPr>
          <w:hyperlink w:anchor="_Toc125379460" w:history="1">
            <w:r w:rsidR="00AE54E4" w:rsidRPr="00AE54E4">
              <w:rPr>
                <w:rStyle w:val="Hyperlink"/>
                <w:rFonts w:cs="Arial"/>
                <w:b/>
                <w:noProof/>
                <w:szCs w:val="24"/>
                <w:lang w:val="en-US"/>
              </w:rPr>
              <w:t>6.0</w:t>
            </w:r>
            <w:r w:rsidR="00AE54E4" w:rsidRPr="00AE54E4">
              <w:rPr>
                <w:rFonts w:eastAsiaTheme="minorEastAsia" w:cs="Arial"/>
                <w:b/>
                <w:noProof/>
                <w:szCs w:val="24"/>
                <w:lang w:eastAsia="en-GB"/>
              </w:rPr>
              <w:tab/>
            </w:r>
            <w:r w:rsidR="00AE54E4" w:rsidRPr="00AE54E4">
              <w:rPr>
                <w:rStyle w:val="Hyperlink"/>
                <w:rFonts w:cs="Arial"/>
                <w:b/>
                <w:noProof/>
                <w:szCs w:val="24"/>
                <w:lang w:val="en-US"/>
              </w:rPr>
              <w:t>EVALUATION PROCESS</w:t>
            </w:r>
            <w:r w:rsidR="00AE54E4" w:rsidRPr="00AE54E4">
              <w:rPr>
                <w:rFonts w:cs="Arial"/>
                <w:b/>
                <w:noProof/>
                <w:webHidden/>
                <w:szCs w:val="24"/>
              </w:rPr>
              <w:tab/>
            </w:r>
            <w:r w:rsidR="00AE54E4" w:rsidRPr="00AE54E4">
              <w:rPr>
                <w:rFonts w:cs="Arial"/>
                <w:b/>
                <w:noProof/>
                <w:webHidden/>
                <w:szCs w:val="24"/>
              </w:rPr>
              <w:fldChar w:fldCharType="begin"/>
            </w:r>
            <w:r w:rsidR="00AE54E4" w:rsidRPr="00AE54E4">
              <w:rPr>
                <w:rFonts w:cs="Arial"/>
                <w:b/>
                <w:noProof/>
                <w:webHidden/>
                <w:szCs w:val="24"/>
              </w:rPr>
              <w:instrText xml:space="preserve"> PAGEREF _Toc125379460 \h </w:instrText>
            </w:r>
            <w:r w:rsidR="00AE54E4" w:rsidRPr="00AE54E4">
              <w:rPr>
                <w:rFonts w:cs="Arial"/>
                <w:b/>
                <w:noProof/>
                <w:webHidden/>
                <w:szCs w:val="24"/>
              </w:rPr>
            </w:r>
            <w:r w:rsidR="00AE54E4" w:rsidRPr="00AE54E4">
              <w:rPr>
                <w:rFonts w:cs="Arial"/>
                <w:b/>
                <w:noProof/>
                <w:webHidden/>
                <w:szCs w:val="24"/>
              </w:rPr>
              <w:fldChar w:fldCharType="separate"/>
            </w:r>
            <w:r w:rsidR="00342ED4">
              <w:rPr>
                <w:rFonts w:cs="Arial"/>
                <w:b/>
                <w:noProof/>
                <w:webHidden/>
                <w:szCs w:val="24"/>
              </w:rPr>
              <w:t>24</w:t>
            </w:r>
            <w:r w:rsidR="00AE54E4" w:rsidRPr="00AE54E4">
              <w:rPr>
                <w:rFonts w:cs="Arial"/>
                <w:b/>
                <w:noProof/>
                <w:webHidden/>
                <w:szCs w:val="24"/>
              </w:rPr>
              <w:fldChar w:fldCharType="end"/>
            </w:r>
          </w:hyperlink>
        </w:p>
        <w:p w14:paraId="2E92B55F" w14:textId="09417ECD" w:rsidR="00AE54E4" w:rsidRDefault="00AE54E4">
          <w:r w:rsidRPr="00AE54E4">
            <w:rPr>
              <w:rFonts w:cs="Arial"/>
              <w:b/>
              <w:bCs/>
              <w:noProof/>
              <w:szCs w:val="24"/>
            </w:rPr>
            <w:fldChar w:fldCharType="end"/>
          </w:r>
        </w:p>
      </w:sdtContent>
    </w:sdt>
    <w:p w14:paraId="6B8C1FB9" w14:textId="77777777" w:rsidR="00AE54E4" w:rsidRPr="00AE54E4" w:rsidRDefault="00AE54E4" w:rsidP="0027117F">
      <w:pPr>
        <w:jc w:val="center"/>
        <w:rPr>
          <w:rFonts w:cs="Arial"/>
          <w:b/>
          <w:sz w:val="28"/>
          <w:szCs w:val="28"/>
          <w:u w:val="single"/>
          <w:lang w:val="en-US"/>
        </w:rPr>
      </w:pPr>
    </w:p>
    <w:p w14:paraId="3DF1FC73" w14:textId="6E6B5DE0" w:rsidR="003B26B5" w:rsidRDefault="003B26B5">
      <w:pPr>
        <w:rPr>
          <w:rFonts w:cs="Arial"/>
          <w:lang w:val="en-US"/>
        </w:rPr>
      </w:pPr>
      <w:r>
        <w:rPr>
          <w:rFonts w:cs="Arial"/>
          <w:lang w:val="en-US"/>
        </w:rPr>
        <w:t>Together with;</w:t>
      </w:r>
    </w:p>
    <w:p w14:paraId="20BC80AB" w14:textId="18FF2711" w:rsidR="003B26B5" w:rsidRDefault="003B26B5">
      <w:pPr>
        <w:rPr>
          <w:rFonts w:cs="Arial"/>
          <w:lang w:val="en-US"/>
        </w:rPr>
      </w:pPr>
      <w:r>
        <w:rPr>
          <w:rFonts w:cs="Arial"/>
          <w:lang w:val="en-US"/>
        </w:rPr>
        <w:t>Quotation response document, including</w:t>
      </w:r>
    </w:p>
    <w:p w14:paraId="0F8A681B" w14:textId="637A32C2" w:rsidR="003B26B5" w:rsidRDefault="003B26B5" w:rsidP="006F2DC7">
      <w:pPr>
        <w:pStyle w:val="ListParagraph"/>
        <w:numPr>
          <w:ilvl w:val="0"/>
          <w:numId w:val="22"/>
        </w:numPr>
        <w:rPr>
          <w:rFonts w:cs="Arial"/>
          <w:lang w:val="en-US"/>
        </w:rPr>
      </w:pPr>
      <w:r>
        <w:rPr>
          <w:rFonts w:cs="Arial"/>
          <w:lang w:val="en-US"/>
        </w:rPr>
        <w:t>Schedule 1:</w:t>
      </w:r>
      <w:r w:rsidRPr="003B26B5">
        <w:rPr>
          <w:rFonts w:cs="Arial"/>
          <w:lang w:val="en-US"/>
        </w:rPr>
        <w:t xml:space="preserve"> </w:t>
      </w:r>
      <w:r w:rsidRPr="00AE54E4">
        <w:rPr>
          <w:rFonts w:cs="Arial"/>
          <w:lang w:val="en-US"/>
        </w:rPr>
        <w:t>Commercially Sensitive Form</w:t>
      </w:r>
    </w:p>
    <w:p w14:paraId="16117FAB" w14:textId="5AC19BAB" w:rsidR="003B26B5" w:rsidRPr="00E0198A" w:rsidRDefault="003B26B5" w:rsidP="00E0198A">
      <w:pPr>
        <w:pStyle w:val="ListParagraph"/>
        <w:numPr>
          <w:ilvl w:val="0"/>
          <w:numId w:val="22"/>
        </w:numPr>
        <w:rPr>
          <w:rFonts w:cs="Arial"/>
          <w:lang w:val="en-US"/>
        </w:rPr>
      </w:pPr>
      <w:r>
        <w:rPr>
          <w:rFonts w:cs="Arial"/>
          <w:lang w:val="en-US"/>
        </w:rPr>
        <w:t xml:space="preserve">Schedule 2: </w:t>
      </w:r>
      <w:r w:rsidRPr="00AE54E4">
        <w:rPr>
          <w:rFonts w:cs="Arial"/>
          <w:lang w:val="en-US"/>
        </w:rPr>
        <w:t>Form of Quote</w:t>
      </w:r>
    </w:p>
    <w:p w14:paraId="19AAEFFA" w14:textId="123690A3" w:rsidR="003B26B5" w:rsidRDefault="003B26B5" w:rsidP="003B26B5">
      <w:pPr>
        <w:rPr>
          <w:rFonts w:cs="Arial"/>
          <w:lang w:val="en-US"/>
        </w:rPr>
      </w:pPr>
      <w:r>
        <w:rPr>
          <w:rFonts w:cs="Arial"/>
          <w:lang w:val="en-US"/>
        </w:rPr>
        <w:t>Schedule 3: Reference Questionnaire</w:t>
      </w:r>
    </w:p>
    <w:p w14:paraId="7D8CDFEB" w14:textId="199AF920" w:rsidR="003B26B5" w:rsidRDefault="003B26B5" w:rsidP="003B26B5">
      <w:pPr>
        <w:rPr>
          <w:rFonts w:cs="Arial"/>
          <w:lang w:val="en-US"/>
        </w:rPr>
      </w:pPr>
      <w:r>
        <w:rPr>
          <w:rFonts w:cs="Arial"/>
          <w:lang w:val="en-US"/>
        </w:rPr>
        <w:t xml:space="preserve">Appendix 1: </w:t>
      </w:r>
      <w:r w:rsidRPr="00AE54E4">
        <w:rPr>
          <w:rFonts w:cs="Arial"/>
          <w:lang w:val="en-US"/>
        </w:rPr>
        <w:t>Plan of Blockhouse within the Haslar Peninsula, Gosport</w:t>
      </w:r>
    </w:p>
    <w:p w14:paraId="2177006B" w14:textId="12F2406E" w:rsidR="003B26B5" w:rsidRDefault="003B26B5" w:rsidP="003B26B5">
      <w:pPr>
        <w:rPr>
          <w:rFonts w:cs="Arial"/>
          <w:lang w:val="en-US"/>
        </w:rPr>
      </w:pPr>
      <w:r w:rsidRPr="00AE54E4">
        <w:rPr>
          <w:rFonts w:cs="Arial"/>
          <w:lang w:val="en-US"/>
        </w:rPr>
        <w:t>Appendix 2: Listing description of the Submarine Escape Training Tower (SETT)</w:t>
      </w:r>
    </w:p>
    <w:p w14:paraId="69A9302D" w14:textId="6CD348DF" w:rsidR="003B26B5" w:rsidRPr="003B26B5" w:rsidRDefault="003B26B5" w:rsidP="003B26B5">
      <w:pPr>
        <w:rPr>
          <w:rFonts w:cs="Arial"/>
          <w:lang w:val="en-US"/>
        </w:rPr>
      </w:pPr>
      <w:r w:rsidRPr="00AE54E4">
        <w:rPr>
          <w:rFonts w:cs="Arial"/>
          <w:lang w:val="en-US"/>
        </w:rPr>
        <w:t>Appendix 3a and 3b</w:t>
      </w:r>
      <w:r>
        <w:rPr>
          <w:rFonts w:cs="Arial"/>
          <w:lang w:val="en-US"/>
        </w:rPr>
        <w:t>:</w:t>
      </w:r>
      <w:r w:rsidRPr="00AE54E4">
        <w:rPr>
          <w:rFonts w:cs="Arial"/>
          <w:lang w:val="en-US"/>
        </w:rPr>
        <w:t xml:space="preserve"> Floorplans of the SETT</w:t>
      </w:r>
    </w:p>
    <w:p w14:paraId="7353DF85" w14:textId="77665818" w:rsidR="001441D9" w:rsidRPr="00AE54E4" w:rsidRDefault="001441D9">
      <w:pPr>
        <w:rPr>
          <w:rFonts w:cs="Arial"/>
          <w:lang w:val="en-US"/>
        </w:rPr>
      </w:pPr>
    </w:p>
    <w:p w14:paraId="2C4E85E8" w14:textId="77777777" w:rsidR="001441D9" w:rsidRPr="00AE54E4" w:rsidRDefault="001441D9">
      <w:pPr>
        <w:rPr>
          <w:rFonts w:cs="Arial"/>
          <w:lang w:val="en-US"/>
        </w:rPr>
      </w:pPr>
    </w:p>
    <w:p w14:paraId="375E0279" w14:textId="77777777" w:rsidR="003B26B5" w:rsidRDefault="003B26B5">
      <w:pPr>
        <w:rPr>
          <w:rFonts w:eastAsiaTheme="majorEastAsia" w:cstheme="majorBidi"/>
          <w:b/>
          <w:sz w:val="28"/>
          <w:szCs w:val="32"/>
          <w:lang w:val="en-US"/>
        </w:rPr>
      </w:pPr>
      <w:bookmarkStart w:id="0" w:name="_Toc125379454"/>
      <w:r>
        <w:rPr>
          <w:lang w:val="en-US"/>
        </w:rPr>
        <w:br w:type="page"/>
      </w:r>
    </w:p>
    <w:p w14:paraId="21F26A94" w14:textId="584DAFCC" w:rsidR="00DF07C8" w:rsidRPr="00AE54E4" w:rsidRDefault="00DF07C8" w:rsidP="00AE54E4">
      <w:pPr>
        <w:pStyle w:val="Heading1"/>
        <w:rPr>
          <w:lang w:val="en-US"/>
        </w:rPr>
      </w:pPr>
      <w:r w:rsidRPr="00AE54E4">
        <w:rPr>
          <w:lang w:val="en-US"/>
        </w:rPr>
        <w:lastRenderedPageBreak/>
        <w:t>Summary</w:t>
      </w:r>
      <w:bookmarkEnd w:id="0"/>
    </w:p>
    <w:p w14:paraId="0899F3F5" w14:textId="41D9E9C7" w:rsidR="00DF07C8" w:rsidRPr="00AE54E4" w:rsidRDefault="00DF07C8" w:rsidP="00532EC3">
      <w:pPr>
        <w:rPr>
          <w:rFonts w:cs="Arial"/>
          <w:b/>
          <w:sz w:val="28"/>
          <w:szCs w:val="28"/>
          <w:lang w:val="en-US"/>
        </w:rPr>
      </w:pPr>
    </w:p>
    <w:p w14:paraId="00AC1D73" w14:textId="1871AD0C" w:rsidR="004B751E" w:rsidRPr="00AE54E4" w:rsidRDefault="004B751E" w:rsidP="0071488E">
      <w:pPr>
        <w:rPr>
          <w:rFonts w:cs="Arial"/>
        </w:rPr>
      </w:pPr>
      <w:r w:rsidRPr="00AE54E4">
        <w:rPr>
          <w:rFonts w:cs="Arial"/>
        </w:rPr>
        <w:t>Gosport Borough Council (GBC) and the Defence Infrastructure Organisation (DIO</w:t>
      </w:r>
      <w:r w:rsidR="0071488E" w:rsidRPr="00AE54E4">
        <w:rPr>
          <w:rFonts w:cs="Arial"/>
        </w:rPr>
        <w:t>) are issuing a joint ‘Invitation to Quote’ (ITQ)</w:t>
      </w:r>
      <w:r w:rsidR="00053635" w:rsidRPr="00AE54E4">
        <w:rPr>
          <w:rFonts w:cs="Arial"/>
        </w:rPr>
        <w:t xml:space="preserve"> </w:t>
      </w:r>
      <w:r w:rsidRPr="00AE54E4">
        <w:rPr>
          <w:rFonts w:cs="Arial"/>
        </w:rPr>
        <w:t xml:space="preserve">to better understand the potential options in relation to re-use/redevelopment of the Grade II Listed Submarine Escape Training Tower (SETT) as part of the likely site wide redevelopment of </w:t>
      </w:r>
      <w:r w:rsidR="0017561C" w:rsidRPr="00AE54E4">
        <w:rPr>
          <w:rFonts w:cs="Arial"/>
        </w:rPr>
        <w:t xml:space="preserve">the </w:t>
      </w:r>
      <w:r w:rsidRPr="00AE54E4">
        <w:rPr>
          <w:rFonts w:cs="Arial"/>
        </w:rPr>
        <w:t>Blockhouse</w:t>
      </w:r>
      <w:r w:rsidR="0017561C" w:rsidRPr="00AE54E4">
        <w:rPr>
          <w:rFonts w:cs="Arial"/>
        </w:rPr>
        <w:t xml:space="preserve"> 1 site</w:t>
      </w:r>
      <w:r w:rsidRPr="00AE54E4">
        <w:rPr>
          <w:rFonts w:cs="Arial"/>
        </w:rPr>
        <w:t xml:space="preserve"> in Gosport.  </w:t>
      </w:r>
    </w:p>
    <w:p w14:paraId="65F27F38" w14:textId="77777777" w:rsidR="004B751E" w:rsidRPr="00AE54E4" w:rsidRDefault="004B751E" w:rsidP="0071488E">
      <w:pPr>
        <w:rPr>
          <w:rFonts w:cs="Arial"/>
        </w:rPr>
      </w:pPr>
    </w:p>
    <w:p w14:paraId="23077B43" w14:textId="77777777" w:rsidR="004B751E" w:rsidRPr="00AE54E4" w:rsidRDefault="004B751E" w:rsidP="0071488E">
      <w:pPr>
        <w:rPr>
          <w:rFonts w:cs="Arial"/>
        </w:rPr>
      </w:pPr>
      <w:r w:rsidRPr="00AE54E4">
        <w:rPr>
          <w:rFonts w:cs="Arial"/>
        </w:rPr>
        <w:t xml:space="preserve">It is envisaged that this study will inform a comprehensive masterplan for the site which will comprise a mixed-use development including residential, employment and commercial/community uses with associated open spaces and public realm.  </w:t>
      </w:r>
    </w:p>
    <w:p w14:paraId="71107834" w14:textId="77777777" w:rsidR="004B751E" w:rsidRPr="00AE54E4" w:rsidRDefault="004B751E" w:rsidP="0071488E">
      <w:pPr>
        <w:rPr>
          <w:rFonts w:cs="Arial"/>
        </w:rPr>
      </w:pPr>
    </w:p>
    <w:p w14:paraId="1FE04BF1" w14:textId="77777777" w:rsidR="004B751E" w:rsidRPr="00AE54E4" w:rsidRDefault="004B751E" w:rsidP="0071488E">
      <w:pPr>
        <w:rPr>
          <w:rFonts w:cs="Arial"/>
        </w:rPr>
      </w:pPr>
      <w:r w:rsidRPr="00AE54E4">
        <w:rPr>
          <w:rFonts w:cs="Arial"/>
        </w:rPr>
        <w:t>We would be grateful if you would submit a quotation in accordance with the following brief.</w:t>
      </w:r>
    </w:p>
    <w:p w14:paraId="5FEA3DCD" w14:textId="77777777" w:rsidR="004B751E" w:rsidRPr="00AE54E4" w:rsidRDefault="004B751E" w:rsidP="0071488E">
      <w:pPr>
        <w:rPr>
          <w:rFonts w:cs="Arial"/>
          <w:b/>
          <w:szCs w:val="24"/>
          <w:lang w:val="en-US"/>
        </w:rPr>
      </w:pPr>
    </w:p>
    <w:p w14:paraId="6229DA85" w14:textId="385BB12C" w:rsidR="00506F60" w:rsidRPr="00AE54E4" w:rsidRDefault="005A616A" w:rsidP="004B751E">
      <w:pPr>
        <w:rPr>
          <w:rFonts w:cs="Arial"/>
          <w:szCs w:val="24"/>
          <w:lang w:val="en-US"/>
        </w:rPr>
      </w:pPr>
      <w:r w:rsidRPr="00AE54E4">
        <w:rPr>
          <w:rFonts w:cs="Arial"/>
          <w:szCs w:val="24"/>
          <w:lang w:val="en-US"/>
        </w:rPr>
        <w:t>The work</w:t>
      </w:r>
      <w:r w:rsidR="0071488E" w:rsidRPr="00AE54E4">
        <w:rPr>
          <w:rFonts w:cs="Arial"/>
          <w:szCs w:val="24"/>
          <w:lang w:val="en-US"/>
        </w:rPr>
        <w:t xml:space="preserve"> GBC and DIO wish to commission is </w:t>
      </w:r>
      <w:r w:rsidR="00506F60" w:rsidRPr="00AE54E4">
        <w:rPr>
          <w:rFonts w:cs="Arial"/>
          <w:szCs w:val="24"/>
          <w:lang w:val="en-US"/>
        </w:rPr>
        <w:t>s</w:t>
      </w:r>
      <w:r w:rsidR="0071488E" w:rsidRPr="00AE54E4">
        <w:rPr>
          <w:rFonts w:cs="Arial"/>
          <w:szCs w:val="24"/>
          <w:lang w:val="en-US"/>
        </w:rPr>
        <w:t xml:space="preserve">et out in </w:t>
      </w:r>
      <w:r w:rsidR="00506F60" w:rsidRPr="00AE54E4">
        <w:rPr>
          <w:rFonts w:cs="Arial"/>
          <w:szCs w:val="24"/>
          <w:lang w:val="en-US"/>
        </w:rPr>
        <w:t>Section 2.1</w:t>
      </w:r>
      <w:r w:rsidR="00E867B4" w:rsidRPr="00AE54E4">
        <w:rPr>
          <w:rFonts w:cs="Arial"/>
          <w:szCs w:val="24"/>
          <w:lang w:val="en-US"/>
        </w:rPr>
        <w:t xml:space="preserve"> </w:t>
      </w:r>
      <w:r w:rsidR="00506F60" w:rsidRPr="00AE54E4">
        <w:rPr>
          <w:rFonts w:cs="Arial"/>
          <w:szCs w:val="24"/>
          <w:lang w:val="en-US"/>
        </w:rPr>
        <w:t>which identifies three main components of the study. These are:</w:t>
      </w:r>
    </w:p>
    <w:p w14:paraId="620FAF2B" w14:textId="77777777" w:rsidR="00506F60" w:rsidRPr="00AE54E4" w:rsidRDefault="00506F60" w:rsidP="004B751E">
      <w:pPr>
        <w:rPr>
          <w:rFonts w:cs="Arial"/>
          <w:b/>
          <w:sz w:val="28"/>
          <w:szCs w:val="28"/>
          <w:lang w:val="en-US"/>
        </w:rPr>
      </w:pPr>
      <w:r w:rsidRPr="00AE54E4">
        <w:rPr>
          <w:rFonts w:cs="Arial"/>
          <w:b/>
          <w:sz w:val="28"/>
          <w:szCs w:val="28"/>
          <w:lang w:val="en-US"/>
        </w:rPr>
        <w:t xml:space="preserve">  </w:t>
      </w:r>
    </w:p>
    <w:p w14:paraId="7FD523C4" w14:textId="25C5734B" w:rsidR="003549A5" w:rsidRPr="00AE54E4" w:rsidRDefault="003549A5" w:rsidP="006F2DC7">
      <w:pPr>
        <w:pStyle w:val="ListParagraph"/>
        <w:numPr>
          <w:ilvl w:val="0"/>
          <w:numId w:val="16"/>
        </w:numPr>
        <w:rPr>
          <w:rFonts w:eastAsia="Calibri" w:cs="Arial"/>
          <w:bCs/>
        </w:rPr>
      </w:pPr>
      <w:r w:rsidRPr="00AE54E4">
        <w:rPr>
          <w:rFonts w:eastAsia="Calibri" w:cs="Arial"/>
          <w:bCs/>
        </w:rPr>
        <w:t xml:space="preserve">Consideration of the building structure </w:t>
      </w:r>
    </w:p>
    <w:p w14:paraId="7D26FEB5" w14:textId="3E201324" w:rsidR="003549A5" w:rsidRPr="00AE54E4" w:rsidRDefault="003549A5" w:rsidP="006F2DC7">
      <w:pPr>
        <w:pStyle w:val="ListParagraph"/>
        <w:numPr>
          <w:ilvl w:val="0"/>
          <w:numId w:val="17"/>
        </w:numPr>
        <w:rPr>
          <w:rFonts w:eastAsia="Calibri" w:cs="Arial"/>
          <w:bCs/>
        </w:rPr>
      </w:pPr>
      <w:r w:rsidRPr="00AE54E4">
        <w:rPr>
          <w:rFonts w:eastAsia="Times New Roman" w:cs="Arial"/>
          <w:bCs/>
        </w:rPr>
        <w:t>Condition survey</w:t>
      </w:r>
    </w:p>
    <w:p w14:paraId="6F8B0FE3" w14:textId="33F355FC" w:rsidR="003549A5" w:rsidRPr="00AE54E4" w:rsidRDefault="003549A5" w:rsidP="006F2DC7">
      <w:pPr>
        <w:pStyle w:val="ListParagraph"/>
        <w:numPr>
          <w:ilvl w:val="0"/>
          <w:numId w:val="17"/>
        </w:numPr>
        <w:rPr>
          <w:rFonts w:eastAsia="Calibri" w:cs="Arial"/>
          <w:bCs/>
        </w:rPr>
      </w:pPr>
      <w:r w:rsidRPr="00AE54E4">
        <w:rPr>
          <w:rFonts w:cs="Arial"/>
        </w:rPr>
        <w:t>General building structure requirements</w:t>
      </w:r>
    </w:p>
    <w:p w14:paraId="19366C55" w14:textId="77777777" w:rsidR="003549A5" w:rsidRPr="00AE54E4" w:rsidRDefault="003549A5" w:rsidP="003549A5">
      <w:pPr>
        <w:pStyle w:val="ListParagraph"/>
        <w:ind w:left="1080"/>
        <w:rPr>
          <w:rFonts w:eastAsia="Calibri" w:cs="Arial"/>
          <w:bCs/>
        </w:rPr>
      </w:pPr>
    </w:p>
    <w:p w14:paraId="17143228" w14:textId="08A7E0C9" w:rsidR="00E867B4" w:rsidRPr="00AE54E4" w:rsidRDefault="003549A5" w:rsidP="006F2DC7">
      <w:pPr>
        <w:pStyle w:val="ListParagraph"/>
        <w:numPr>
          <w:ilvl w:val="0"/>
          <w:numId w:val="16"/>
        </w:numPr>
        <w:spacing w:after="200" w:line="276" w:lineRule="auto"/>
        <w:rPr>
          <w:rFonts w:eastAsia="Calibri" w:cs="Arial"/>
          <w:bCs/>
        </w:rPr>
      </w:pPr>
      <w:r w:rsidRPr="00AE54E4">
        <w:rPr>
          <w:rFonts w:eastAsia="Calibri" w:cs="Arial"/>
          <w:bCs/>
        </w:rPr>
        <w:t xml:space="preserve">Future Use/Commercial Questions  including potential future uses of the SETT </w:t>
      </w:r>
    </w:p>
    <w:p w14:paraId="2B672B01" w14:textId="3E1D03C1" w:rsidR="00E867B4" w:rsidRPr="00AE54E4" w:rsidRDefault="00E867B4" w:rsidP="00E867B4">
      <w:pPr>
        <w:pStyle w:val="ListParagraph"/>
        <w:spacing w:after="200" w:line="276" w:lineRule="auto"/>
        <w:rPr>
          <w:rFonts w:eastAsia="Calibri" w:cs="Arial"/>
          <w:bCs/>
        </w:rPr>
      </w:pPr>
    </w:p>
    <w:p w14:paraId="61BDFF88" w14:textId="543C6EE9" w:rsidR="00E867B4" w:rsidRPr="00AE54E4" w:rsidRDefault="00E867B4" w:rsidP="006F2DC7">
      <w:pPr>
        <w:pStyle w:val="ListParagraph"/>
        <w:numPr>
          <w:ilvl w:val="0"/>
          <w:numId w:val="16"/>
        </w:numPr>
        <w:spacing w:after="200" w:line="276" w:lineRule="auto"/>
        <w:rPr>
          <w:rFonts w:eastAsia="Calibri" w:cs="Arial"/>
          <w:bCs/>
        </w:rPr>
      </w:pPr>
      <w:r w:rsidRPr="00AE54E4">
        <w:rPr>
          <w:rFonts w:eastAsia="Calibri" w:cs="Arial"/>
          <w:bCs/>
        </w:rPr>
        <w:t>Potential scope to relocate the SETT</w:t>
      </w:r>
    </w:p>
    <w:p w14:paraId="1BFE4B55" w14:textId="77777777" w:rsidR="003549A5" w:rsidRPr="00AE54E4" w:rsidRDefault="003549A5" w:rsidP="004B751E">
      <w:pPr>
        <w:rPr>
          <w:rFonts w:cs="Arial"/>
          <w:b/>
          <w:sz w:val="28"/>
          <w:szCs w:val="28"/>
          <w:lang w:val="en-US"/>
        </w:rPr>
      </w:pPr>
    </w:p>
    <w:p w14:paraId="36A1017D" w14:textId="119E6664" w:rsidR="004B751E" w:rsidRPr="00AE54E4" w:rsidRDefault="00506F60" w:rsidP="004B751E">
      <w:pPr>
        <w:rPr>
          <w:rFonts w:cs="Arial"/>
          <w:szCs w:val="24"/>
          <w:lang w:val="en-US"/>
        </w:rPr>
      </w:pPr>
      <w:r w:rsidRPr="00AE54E4">
        <w:rPr>
          <w:rFonts w:cs="Arial"/>
          <w:szCs w:val="24"/>
          <w:lang w:val="en-US"/>
        </w:rPr>
        <w:t xml:space="preserve">The remainder of the ITQ sets out all the requirements in relation to submitting an </w:t>
      </w:r>
      <w:r w:rsidR="005A616A" w:rsidRPr="00AE54E4">
        <w:rPr>
          <w:rFonts w:cs="Arial"/>
          <w:szCs w:val="24"/>
          <w:lang w:val="en-US"/>
        </w:rPr>
        <w:t>quotation</w:t>
      </w:r>
      <w:r w:rsidRPr="00AE54E4">
        <w:rPr>
          <w:rFonts w:cs="Arial"/>
          <w:szCs w:val="24"/>
          <w:lang w:val="en-US"/>
        </w:rPr>
        <w:t xml:space="preserve">, how it will be evaluated and various contractual requirements. </w:t>
      </w:r>
    </w:p>
    <w:p w14:paraId="3A61EBFF" w14:textId="77777777" w:rsidR="004B751E" w:rsidRPr="00AE54E4" w:rsidRDefault="004B751E" w:rsidP="004B751E">
      <w:pPr>
        <w:rPr>
          <w:rFonts w:cs="Arial"/>
          <w:b/>
          <w:sz w:val="28"/>
          <w:szCs w:val="28"/>
          <w:lang w:val="en-US"/>
        </w:rPr>
      </w:pPr>
    </w:p>
    <w:p w14:paraId="204F3CFD" w14:textId="65CC26A4" w:rsidR="00CA4C85" w:rsidRPr="00AE54E4" w:rsidRDefault="00CA4C85" w:rsidP="00532EC3">
      <w:pPr>
        <w:rPr>
          <w:rFonts w:cs="Arial"/>
          <w:b/>
          <w:sz w:val="28"/>
          <w:szCs w:val="28"/>
          <w:lang w:val="en-US"/>
        </w:rPr>
      </w:pPr>
    </w:p>
    <w:p w14:paraId="63F35E08" w14:textId="0162574C" w:rsidR="004B751E" w:rsidRPr="00AE54E4" w:rsidRDefault="004B751E" w:rsidP="00532EC3">
      <w:pPr>
        <w:rPr>
          <w:rFonts w:cs="Arial"/>
          <w:b/>
          <w:sz w:val="28"/>
          <w:szCs w:val="28"/>
          <w:lang w:val="en-US"/>
        </w:rPr>
      </w:pPr>
    </w:p>
    <w:p w14:paraId="34BBBD07" w14:textId="6C7BD578" w:rsidR="004B751E" w:rsidRPr="00AE54E4" w:rsidRDefault="004B751E" w:rsidP="00532EC3">
      <w:pPr>
        <w:rPr>
          <w:rFonts w:cs="Arial"/>
          <w:b/>
          <w:sz w:val="28"/>
          <w:szCs w:val="28"/>
          <w:lang w:val="en-US"/>
        </w:rPr>
      </w:pPr>
    </w:p>
    <w:p w14:paraId="65B95E98" w14:textId="5901C698" w:rsidR="004B751E" w:rsidRPr="00AE54E4" w:rsidRDefault="004B751E" w:rsidP="00532EC3">
      <w:pPr>
        <w:rPr>
          <w:rFonts w:cs="Arial"/>
          <w:b/>
          <w:sz w:val="28"/>
          <w:szCs w:val="28"/>
          <w:lang w:val="en-US"/>
        </w:rPr>
      </w:pPr>
    </w:p>
    <w:p w14:paraId="342C9713" w14:textId="77777777" w:rsidR="004B751E" w:rsidRPr="00AE54E4" w:rsidRDefault="004B751E" w:rsidP="00532EC3">
      <w:pPr>
        <w:rPr>
          <w:rFonts w:cs="Arial"/>
          <w:b/>
          <w:sz w:val="28"/>
          <w:szCs w:val="28"/>
          <w:lang w:val="en-US"/>
        </w:rPr>
      </w:pPr>
    </w:p>
    <w:p w14:paraId="2E3CB826" w14:textId="5B61F810" w:rsidR="00CA4C85" w:rsidRPr="00AE54E4" w:rsidRDefault="00CA4C85" w:rsidP="00532EC3">
      <w:pPr>
        <w:rPr>
          <w:rFonts w:cs="Arial"/>
          <w:b/>
          <w:sz w:val="28"/>
          <w:szCs w:val="28"/>
          <w:lang w:val="en-US"/>
        </w:rPr>
      </w:pPr>
    </w:p>
    <w:p w14:paraId="58766FED" w14:textId="416AEA9C" w:rsidR="00C8442B" w:rsidRPr="00AE54E4" w:rsidRDefault="00C8442B" w:rsidP="00532EC3">
      <w:pPr>
        <w:rPr>
          <w:rFonts w:cs="Arial"/>
          <w:b/>
          <w:sz w:val="28"/>
          <w:szCs w:val="28"/>
          <w:lang w:val="en-US"/>
        </w:rPr>
      </w:pPr>
    </w:p>
    <w:p w14:paraId="3DB73671" w14:textId="77777777" w:rsidR="00C8442B" w:rsidRPr="00AE54E4" w:rsidRDefault="00C8442B" w:rsidP="00532EC3">
      <w:pPr>
        <w:rPr>
          <w:rFonts w:cs="Arial"/>
          <w:b/>
          <w:sz w:val="28"/>
          <w:szCs w:val="28"/>
          <w:lang w:val="en-US"/>
        </w:rPr>
      </w:pPr>
    </w:p>
    <w:p w14:paraId="37C53529" w14:textId="16DD1706" w:rsidR="00CA4C85" w:rsidRPr="00AE54E4" w:rsidRDefault="00CA4C85" w:rsidP="00532EC3">
      <w:pPr>
        <w:rPr>
          <w:rFonts w:cs="Arial"/>
          <w:b/>
          <w:sz w:val="28"/>
          <w:szCs w:val="28"/>
          <w:lang w:val="en-US"/>
        </w:rPr>
      </w:pPr>
    </w:p>
    <w:p w14:paraId="3AC9085D" w14:textId="42877F0D" w:rsidR="00CA4C85" w:rsidRPr="00AE54E4" w:rsidRDefault="00CA4C85" w:rsidP="00532EC3">
      <w:pPr>
        <w:rPr>
          <w:rFonts w:cs="Arial"/>
          <w:b/>
          <w:sz w:val="28"/>
          <w:szCs w:val="28"/>
          <w:lang w:val="en-US"/>
        </w:rPr>
      </w:pPr>
    </w:p>
    <w:p w14:paraId="6321FB40" w14:textId="26FB8FCD" w:rsidR="00CA4C85" w:rsidRPr="00AE54E4" w:rsidRDefault="00CA4C85" w:rsidP="00532EC3">
      <w:pPr>
        <w:rPr>
          <w:rFonts w:cs="Arial"/>
          <w:b/>
          <w:sz w:val="28"/>
          <w:szCs w:val="28"/>
          <w:lang w:val="en-US"/>
        </w:rPr>
      </w:pPr>
    </w:p>
    <w:p w14:paraId="1BC87415" w14:textId="1839F78D" w:rsidR="00CA4C85" w:rsidRPr="00AE54E4" w:rsidRDefault="00CA4C85" w:rsidP="00532EC3">
      <w:pPr>
        <w:rPr>
          <w:rFonts w:cs="Arial"/>
          <w:b/>
          <w:sz w:val="28"/>
          <w:szCs w:val="28"/>
          <w:lang w:val="en-US"/>
        </w:rPr>
      </w:pPr>
    </w:p>
    <w:p w14:paraId="0A2E7286" w14:textId="77777777" w:rsidR="00AE54E4" w:rsidRDefault="00AE54E4">
      <w:pPr>
        <w:rPr>
          <w:rFonts w:eastAsiaTheme="majorEastAsia" w:cstheme="majorBidi"/>
          <w:b/>
          <w:sz w:val="28"/>
          <w:szCs w:val="32"/>
          <w:highlight w:val="lightGray"/>
          <w:lang w:val="en-US"/>
        </w:rPr>
      </w:pPr>
      <w:r>
        <w:rPr>
          <w:highlight w:val="lightGray"/>
          <w:lang w:val="en-US"/>
        </w:rPr>
        <w:br w:type="page"/>
      </w:r>
    </w:p>
    <w:p w14:paraId="0E7EB870" w14:textId="12E8DB36" w:rsidR="00532EC3" w:rsidRPr="00AE54E4" w:rsidRDefault="00CC4D5A" w:rsidP="006F2DC7">
      <w:pPr>
        <w:pStyle w:val="Heading1"/>
        <w:numPr>
          <w:ilvl w:val="0"/>
          <w:numId w:val="21"/>
        </w:numPr>
        <w:rPr>
          <w:lang w:val="en-US"/>
        </w:rPr>
      </w:pPr>
      <w:bookmarkStart w:id="1" w:name="_Toc125379455"/>
      <w:r w:rsidRPr="00AE54E4">
        <w:rPr>
          <w:lang w:val="en-US"/>
        </w:rPr>
        <w:lastRenderedPageBreak/>
        <w:t>I</w:t>
      </w:r>
      <w:r w:rsidR="00DE5952" w:rsidRPr="00AE54E4">
        <w:rPr>
          <w:lang w:val="en-US"/>
        </w:rPr>
        <w:t>NTRODUCTION and CONTEXT</w:t>
      </w:r>
      <w:bookmarkEnd w:id="1"/>
    </w:p>
    <w:p w14:paraId="2E7664E0" w14:textId="2BC9D6FD" w:rsidR="00CC4D5A" w:rsidRPr="00AE54E4" w:rsidRDefault="00CC4D5A" w:rsidP="0071488E">
      <w:pPr>
        <w:rPr>
          <w:rFonts w:cs="Arial"/>
          <w:u w:val="single"/>
          <w:lang w:val="en-US"/>
        </w:rPr>
      </w:pPr>
    </w:p>
    <w:p w14:paraId="79497515" w14:textId="77777777" w:rsidR="00872A2E" w:rsidRPr="00AE54E4" w:rsidRDefault="00872A2E" w:rsidP="0071488E">
      <w:pPr>
        <w:rPr>
          <w:rFonts w:cs="Arial"/>
          <w:u w:val="single"/>
          <w:lang w:val="en-US"/>
        </w:rPr>
      </w:pPr>
    </w:p>
    <w:p w14:paraId="0F08A418" w14:textId="77777777" w:rsidR="00A33DF9" w:rsidRPr="00AE54E4" w:rsidRDefault="00A33DF9" w:rsidP="0071488E">
      <w:pPr>
        <w:rPr>
          <w:rFonts w:cs="Arial"/>
          <w:b/>
          <w:lang w:val="en-US"/>
        </w:rPr>
      </w:pPr>
      <w:r w:rsidRPr="00AE54E4">
        <w:rPr>
          <w:rFonts w:cs="Arial"/>
          <w:b/>
          <w:lang w:val="en-US"/>
        </w:rPr>
        <w:t>1.1</w:t>
      </w:r>
      <w:r w:rsidRPr="00AE54E4">
        <w:rPr>
          <w:rFonts w:cs="Arial"/>
          <w:b/>
          <w:lang w:val="en-US"/>
        </w:rPr>
        <w:tab/>
        <w:t>Introduction</w:t>
      </w:r>
    </w:p>
    <w:p w14:paraId="598BE178" w14:textId="77777777" w:rsidR="00A33DF9" w:rsidRPr="00AE54E4" w:rsidRDefault="00A33DF9" w:rsidP="0071488E">
      <w:pPr>
        <w:rPr>
          <w:rFonts w:cs="Arial"/>
          <w:u w:val="single"/>
          <w:lang w:val="en-US"/>
        </w:rPr>
      </w:pPr>
    </w:p>
    <w:p w14:paraId="3B5493CE" w14:textId="6BEFF546" w:rsidR="004B751E" w:rsidRPr="00AE54E4" w:rsidRDefault="004B751E" w:rsidP="0071488E">
      <w:pPr>
        <w:rPr>
          <w:rFonts w:cs="Arial"/>
        </w:rPr>
      </w:pPr>
      <w:r w:rsidRPr="00AE54E4">
        <w:rPr>
          <w:rFonts w:cs="Arial"/>
        </w:rPr>
        <w:t xml:space="preserve">Gosport Borough Council (GBC) and the Defence Infrastructure Organisation (DIO) are issuing a joint brief to better understand the potential options in relation to re-use/redevelopment of the Grade II Listed Submarine Escape Training Tower (SETT) as part of the likely site wide redevelopment of Blockhouse in Gosport. </w:t>
      </w:r>
      <w:r w:rsidR="0017561C" w:rsidRPr="00AE54E4">
        <w:rPr>
          <w:rFonts w:cs="Arial"/>
        </w:rPr>
        <w:t>At present Blockhouse 1 as shown in Appendix 1 is being released for development and the location of the SETT is included on the plan (as building ‘D’).</w:t>
      </w:r>
    </w:p>
    <w:p w14:paraId="36B7090C" w14:textId="77777777" w:rsidR="004B751E" w:rsidRPr="00AE54E4" w:rsidRDefault="004B751E" w:rsidP="0071488E">
      <w:pPr>
        <w:rPr>
          <w:rFonts w:cs="Arial"/>
        </w:rPr>
      </w:pPr>
    </w:p>
    <w:p w14:paraId="26E2E894" w14:textId="77777777" w:rsidR="004B751E" w:rsidRPr="00AE54E4" w:rsidRDefault="004B751E" w:rsidP="0071488E">
      <w:pPr>
        <w:rPr>
          <w:rFonts w:cs="Arial"/>
        </w:rPr>
      </w:pPr>
      <w:r w:rsidRPr="00AE54E4">
        <w:rPr>
          <w:rFonts w:cs="Arial"/>
        </w:rPr>
        <w:t xml:space="preserve">It is envisaged that this study will inform a comprehensive masterplan for the site which will comprise a mixed-use development including residential, employment and commercial/community uses with associated open spaces and public realm.  </w:t>
      </w:r>
    </w:p>
    <w:p w14:paraId="6A0139B9" w14:textId="77777777" w:rsidR="004B751E" w:rsidRPr="00AE54E4" w:rsidRDefault="004B751E" w:rsidP="0071488E">
      <w:pPr>
        <w:rPr>
          <w:rFonts w:cs="Arial"/>
        </w:rPr>
      </w:pPr>
    </w:p>
    <w:p w14:paraId="4C1064BE" w14:textId="77777777" w:rsidR="004B751E" w:rsidRPr="00AE54E4" w:rsidRDefault="004B751E" w:rsidP="0071488E">
      <w:pPr>
        <w:rPr>
          <w:rFonts w:cs="Arial"/>
        </w:rPr>
      </w:pPr>
      <w:r w:rsidRPr="00AE54E4">
        <w:rPr>
          <w:rFonts w:cs="Arial"/>
        </w:rPr>
        <w:t>We would be grateful if you would submit a quotation in accordance with the following brief.</w:t>
      </w:r>
    </w:p>
    <w:p w14:paraId="42A8C2DE" w14:textId="77777777" w:rsidR="00B76F0E" w:rsidRPr="00AE54E4" w:rsidRDefault="00B76F0E" w:rsidP="0071488E">
      <w:pPr>
        <w:rPr>
          <w:rFonts w:cs="Arial"/>
        </w:rPr>
      </w:pPr>
    </w:p>
    <w:p w14:paraId="5F488C93" w14:textId="77777777" w:rsidR="00DE5952" w:rsidRPr="00AE54E4" w:rsidRDefault="00DE5952" w:rsidP="0071488E">
      <w:pPr>
        <w:rPr>
          <w:rFonts w:cs="Arial"/>
        </w:rPr>
      </w:pPr>
    </w:p>
    <w:p w14:paraId="138675BF" w14:textId="77777777" w:rsidR="004B751E" w:rsidRPr="00AE54E4" w:rsidRDefault="003D1FEF" w:rsidP="0071488E">
      <w:pPr>
        <w:rPr>
          <w:rFonts w:cs="Arial"/>
          <w:b/>
          <w:bCs/>
        </w:rPr>
      </w:pPr>
      <w:r w:rsidRPr="00AE54E4">
        <w:rPr>
          <w:rFonts w:cs="Arial"/>
          <w:b/>
        </w:rPr>
        <w:t>1.2</w:t>
      </w:r>
      <w:r w:rsidR="00DE5952" w:rsidRPr="00AE54E4">
        <w:rPr>
          <w:rFonts w:cs="Arial"/>
          <w:b/>
        </w:rPr>
        <w:tab/>
      </w:r>
      <w:r w:rsidR="004B751E" w:rsidRPr="00AE54E4">
        <w:rPr>
          <w:rFonts w:cs="Arial"/>
          <w:b/>
          <w:bCs/>
        </w:rPr>
        <w:t>Background</w:t>
      </w:r>
    </w:p>
    <w:p w14:paraId="76EFCB66" w14:textId="7F1E95E7" w:rsidR="00DE5952" w:rsidRPr="00AE54E4" w:rsidRDefault="00DE5952" w:rsidP="0071488E">
      <w:pPr>
        <w:rPr>
          <w:rFonts w:cs="Arial"/>
          <w:b/>
          <w:u w:val="single"/>
        </w:rPr>
      </w:pPr>
    </w:p>
    <w:p w14:paraId="69C726E7" w14:textId="4F1C18C6" w:rsidR="001A642F" w:rsidRPr="00AE54E4" w:rsidRDefault="001A642F" w:rsidP="0071488E">
      <w:pPr>
        <w:rPr>
          <w:rFonts w:cs="Arial"/>
        </w:rPr>
      </w:pPr>
      <w:r w:rsidRPr="00AE54E4">
        <w:rPr>
          <w:rFonts w:cs="Arial"/>
        </w:rPr>
        <w:t>Blockhouse is located at the end of the Haslar peninsula and has been in the defence ownership since the 1500’s.  Part of the site –</w:t>
      </w:r>
      <w:r w:rsidR="00ED656F" w:rsidRPr="00AE54E4">
        <w:rPr>
          <w:rFonts w:cs="Arial"/>
        </w:rPr>
        <w:t xml:space="preserve"> </w:t>
      </w:r>
      <w:r w:rsidRPr="00AE54E4">
        <w:rPr>
          <w:rFonts w:cs="Arial"/>
        </w:rPr>
        <w:t>Blockhouse 1 – was scheduled for closure in 2016 and it is anticipated that it will be formally closed in 2025.</w:t>
      </w:r>
    </w:p>
    <w:p w14:paraId="182C5BDD" w14:textId="77777777" w:rsidR="001A642F" w:rsidRPr="00AE54E4" w:rsidRDefault="001A642F" w:rsidP="0071488E">
      <w:pPr>
        <w:rPr>
          <w:rFonts w:cs="Arial"/>
        </w:rPr>
      </w:pPr>
    </w:p>
    <w:p w14:paraId="78CCEEFE" w14:textId="77777777" w:rsidR="001A642F" w:rsidRPr="00AE54E4" w:rsidRDefault="001A642F" w:rsidP="0071488E">
      <w:pPr>
        <w:rPr>
          <w:rFonts w:cs="Arial"/>
        </w:rPr>
      </w:pPr>
      <w:r w:rsidRPr="00AE54E4">
        <w:rPr>
          <w:rFonts w:cs="Arial"/>
        </w:rPr>
        <w:t xml:space="preserve">As the landowner, the DIO has appointed a Project Team to advise on the disposal strategy associated with the site. This includes JLL (commercial and planning advisors); Wood (technical and environmental advisors); PRP (masterplanners); as well as a range of relevant expertise from within DIO and MOD.  </w:t>
      </w:r>
    </w:p>
    <w:p w14:paraId="68F991F0" w14:textId="77777777" w:rsidR="001A642F" w:rsidRPr="00AE54E4" w:rsidRDefault="001A642F" w:rsidP="0071488E">
      <w:pPr>
        <w:rPr>
          <w:rFonts w:cs="Arial"/>
        </w:rPr>
      </w:pPr>
    </w:p>
    <w:p w14:paraId="49609434" w14:textId="7EDF6003" w:rsidR="001A642F" w:rsidRPr="00AE54E4" w:rsidRDefault="001A642F" w:rsidP="0071488E">
      <w:pPr>
        <w:rPr>
          <w:rFonts w:cs="Arial"/>
        </w:rPr>
      </w:pPr>
      <w:r w:rsidRPr="00AE54E4">
        <w:rPr>
          <w:rFonts w:cs="Arial"/>
        </w:rPr>
        <w:t>The Project Team is engaging with GBC (as Local Planning Authority (LPA)) in relation to the future plans of this site which includes actively participating in the Reg</w:t>
      </w:r>
      <w:r w:rsidR="005420AE" w:rsidRPr="00AE54E4">
        <w:rPr>
          <w:rFonts w:cs="Arial"/>
        </w:rPr>
        <w:t>ulation</w:t>
      </w:r>
      <w:r w:rsidRPr="00AE54E4">
        <w:rPr>
          <w:rFonts w:cs="Arial"/>
        </w:rPr>
        <w:t xml:space="preserve"> 19 / Local Plan review. The emerging GBC Local Plan 2038 states that that the ‘</w:t>
      </w:r>
      <w:r w:rsidRPr="00AE54E4">
        <w:rPr>
          <w:rFonts w:cs="Arial"/>
          <w:i/>
          <w:iCs/>
        </w:rPr>
        <w:t>Gosport Waterfront and the Haslar Peninsula will aim to be world-class locale for marine industries and sailing and be redeveloped to provide new mixed-use neighbourhoods and marine employment’.</w:t>
      </w:r>
    </w:p>
    <w:p w14:paraId="19227DF0" w14:textId="77777777" w:rsidR="001A642F" w:rsidRPr="00AE54E4" w:rsidRDefault="001A642F" w:rsidP="0071488E">
      <w:pPr>
        <w:rPr>
          <w:rFonts w:cs="Arial"/>
        </w:rPr>
      </w:pPr>
    </w:p>
    <w:p w14:paraId="712908A2" w14:textId="62C33DE1" w:rsidR="001A642F" w:rsidRPr="00AE54E4" w:rsidRDefault="001A642F" w:rsidP="005420AE">
      <w:pPr>
        <w:rPr>
          <w:rFonts w:cs="Arial"/>
        </w:rPr>
      </w:pPr>
      <w:r w:rsidRPr="00AE54E4">
        <w:rPr>
          <w:rFonts w:cs="Arial"/>
        </w:rPr>
        <w:t xml:space="preserve">In parallel with this, JLL is advising the DIO on the disposal strategy.  This includes considering the potential mix of uses which </w:t>
      </w:r>
      <w:r w:rsidR="0017561C" w:rsidRPr="00AE54E4">
        <w:rPr>
          <w:rFonts w:cs="Arial"/>
        </w:rPr>
        <w:t>Blockhouse 1</w:t>
      </w:r>
      <w:r w:rsidRPr="00AE54E4">
        <w:rPr>
          <w:rFonts w:cs="Arial"/>
        </w:rPr>
        <w:t xml:space="preserve"> could acco</w:t>
      </w:r>
      <w:r w:rsidR="005420AE" w:rsidRPr="00AE54E4">
        <w:rPr>
          <w:rFonts w:cs="Arial"/>
        </w:rPr>
        <w:t>mmodate</w:t>
      </w:r>
      <w:r w:rsidR="007324D2" w:rsidRPr="00AE54E4">
        <w:rPr>
          <w:rFonts w:cs="Arial"/>
        </w:rPr>
        <w:t xml:space="preserve">.  This work needs to be </w:t>
      </w:r>
      <w:r w:rsidR="005420AE" w:rsidRPr="00AE54E4">
        <w:rPr>
          <w:rFonts w:cs="Arial"/>
        </w:rPr>
        <w:t xml:space="preserve"> mindful of </w:t>
      </w:r>
      <w:r w:rsidRPr="00AE54E4">
        <w:rPr>
          <w:rFonts w:cs="Arial"/>
        </w:rPr>
        <w:t>a number of challenges the site has (which includes Listed buildings such as the SETT and other heritage issues; sea wall; enduring operat</w:t>
      </w:r>
      <w:r w:rsidR="005420AE" w:rsidRPr="00AE54E4">
        <w:rPr>
          <w:rFonts w:cs="Arial"/>
        </w:rPr>
        <w:t>ional requirements; and access)</w:t>
      </w:r>
      <w:r w:rsidR="007324D2" w:rsidRPr="00AE54E4">
        <w:rPr>
          <w:rFonts w:cs="Arial"/>
        </w:rPr>
        <w:t xml:space="preserve"> as well as </w:t>
      </w:r>
      <w:r w:rsidRPr="00AE54E4">
        <w:rPr>
          <w:rFonts w:cs="Arial"/>
        </w:rPr>
        <w:t>seeking to maximise the opportunities the s</w:t>
      </w:r>
      <w:r w:rsidR="005420AE" w:rsidRPr="00AE54E4">
        <w:rPr>
          <w:rFonts w:cs="Arial"/>
        </w:rPr>
        <w:t>ite offers (which include water</w:t>
      </w:r>
      <w:r w:rsidRPr="00AE54E4">
        <w:rPr>
          <w:rFonts w:cs="Arial"/>
        </w:rPr>
        <w:t>front position and access</w:t>
      </w:r>
      <w:r w:rsidR="007324D2" w:rsidRPr="00AE54E4">
        <w:rPr>
          <w:rFonts w:cs="Arial"/>
        </w:rPr>
        <w:t>,</w:t>
      </w:r>
      <w:r w:rsidRPr="00AE54E4">
        <w:rPr>
          <w:rFonts w:cs="Arial"/>
        </w:rPr>
        <w:t xml:space="preserve"> and heritage).</w:t>
      </w:r>
    </w:p>
    <w:p w14:paraId="11BB72AC" w14:textId="77777777" w:rsidR="001A642F" w:rsidRPr="00AE54E4" w:rsidRDefault="001A642F" w:rsidP="0071488E">
      <w:pPr>
        <w:ind w:left="720"/>
        <w:rPr>
          <w:rFonts w:cs="Arial"/>
        </w:rPr>
      </w:pPr>
    </w:p>
    <w:p w14:paraId="4360A966" w14:textId="5F245FCE" w:rsidR="001A642F" w:rsidRPr="00AE54E4" w:rsidRDefault="001A642F" w:rsidP="0071488E">
      <w:pPr>
        <w:rPr>
          <w:rFonts w:cs="Arial"/>
        </w:rPr>
      </w:pPr>
    </w:p>
    <w:p w14:paraId="117C38AE" w14:textId="4C827314" w:rsidR="00506F60" w:rsidRPr="00AE54E4" w:rsidRDefault="00506F60" w:rsidP="0071488E">
      <w:pPr>
        <w:rPr>
          <w:rFonts w:cs="Arial"/>
        </w:rPr>
      </w:pPr>
    </w:p>
    <w:p w14:paraId="7DC465A3" w14:textId="70AFC773" w:rsidR="001A642F" w:rsidRPr="00AE54E4" w:rsidRDefault="001A642F" w:rsidP="0071488E">
      <w:pPr>
        <w:rPr>
          <w:rFonts w:cs="Arial"/>
          <w:b/>
          <w:bCs/>
        </w:rPr>
      </w:pPr>
      <w:r w:rsidRPr="00AE54E4">
        <w:rPr>
          <w:rFonts w:cs="Arial"/>
          <w:b/>
        </w:rPr>
        <w:lastRenderedPageBreak/>
        <w:t>1.3</w:t>
      </w:r>
      <w:r w:rsidRPr="00AE54E4">
        <w:rPr>
          <w:rFonts w:cs="Arial"/>
          <w:b/>
        </w:rPr>
        <w:tab/>
      </w:r>
      <w:r w:rsidRPr="00AE54E4">
        <w:rPr>
          <w:rFonts w:cs="Arial"/>
          <w:b/>
          <w:bCs/>
        </w:rPr>
        <w:t>Site description</w:t>
      </w:r>
    </w:p>
    <w:p w14:paraId="2283881B" w14:textId="1F97E86E" w:rsidR="001A642F" w:rsidRPr="00AE54E4" w:rsidRDefault="001A642F" w:rsidP="0071488E">
      <w:pPr>
        <w:rPr>
          <w:rFonts w:cs="Arial"/>
          <w:b/>
          <w:bCs/>
        </w:rPr>
      </w:pPr>
    </w:p>
    <w:p w14:paraId="78C26830" w14:textId="3C6405D8" w:rsidR="001A642F" w:rsidRPr="00AE54E4" w:rsidRDefault="0017561C" w:rsidP="0071488E">
      <w:pPr>
        <w:rPr>
          <w:rFonts w:cs="Arial"/>
        </w:rPr>
      </w:pPr>
      <w:r w:rsidRPr="00AE54E4">
        <w:rPr>
          <w:rFonts w:cs="Arial"/>
        </w:rPr>
        <w:t>Blockhouse</w:t>
      </w:r>
      <w:r w:rsidR="001A642F" w:rsidRPr="00AE54E4">
        <w:rPr>
          <w:rFonts w:cs="Arial"/>
        </w:rPr>
        <w:t xml:space="preserve"> is located in the south-east part of Gosport, approximately a 10 minute walk from Gosport town centre.  The most convenient access to Portsmouth is via passenger ferry.  The site is bound by Haslar Lake and Portsmouth Harbour to the north and east. The Solent is located to the south and the building associated with the former Royal Haslar Hospital is to the west. </w:t>
      </w:r>
    </w:p>
    <w:p w14:paraId="5523E196" w14:textId="77777777" w:rsidR="001A642F" w:rsidRPr="00AE54E4" w:rsidRDefault="001A642F" w:rsidP="0071488E">
      <w:pPr>
        <w:rPr>
          <w:rFonts w:cs="Arial"/>
        </w:rPr>
      </w:pPr>
      <w:r w:rsidRPr="00AE54E4">
        <w:rPr>
          <w:rFonts w:cs="Arial"/>
        </w:rPr>
        <w:t xml:space="preserve"> </w:t>
      </w:r>
    </w:p>
    <w:p w14:paraId="5C9223E9" w14:textId="0DF90DFD" w:rsidR="001A642F" w:rsidRPr="00AE54E4" w:rsidRDefault="001A642F" w:rsidP="0071488E">
      <w:pPr>
        <w:rPr>
          <w:rFonts w:cs="Arial"/>
        </w:rPr>
      </w:pPr>
      <w:r w:rsidRPr="00AE54E4">
        <w:rPr>
          <w:rFonts w:cs="Arial"/>
        </w:rPr>
        <w:t>Blockhouse comprises one site but is split into three distinct land parcels.  These are known as Blockhouse 1, 2 and 3 (Appendix 1).  Further description of the three parcels is as follows:</w:t>
      </w:r>
    </w:p>
    <w:p w14:paraId="6D789B7A" w14:textId="77777777" w:rsidR="001A642F" w:rsidRPr="00AE54E4" w:rsidRDefault="001A642F" w:rsidP="0071488E">
      <w:pPr>
        <w:rPr>
          <w:rFonts w:cs="Arial"/>
        </w:rPr>
      </w:pPr>
    </w:p>
    <w:p w14:paraId="46F17E7F" w14:textId="651D7734" w:rsidR="001A642F" w:rsidRPr="00AE54E4" w:rsidRDefault="00ED656F" w:rsidP="006F2DC7">
      <w:pPr>
        <w:pStyle w:val="ListParagraph"/>
        <w:numPr>
          <w:ilvl w:val="0"/>
          <w:numId w:val="8"/>
        </w:numPr>
        <w:contextualSpacing w:val="0"/>
        <w:rPr>
          <w:rFonts w:cs="Arial"/>
        </w:rPr>
      </w:pPr>
      <w:r w:rsidRPr="00AE54E4">
        <w:rPr>
          <w:rFonts w:cs="Arial"/>
          <w:b/>
          <w:bCs/>
        </w:rPr>
        <w:t>Blockhouse 1</w:t>
      </w:r>
      <w:r w:rsidR="001A642F" w:rsidRPr="00AE54E4">
        <w:rPr>
          <w:rFonts w:cs="Arial"/>
          <w:b/>
          <w:bCs/>
        </w:rPr>
        <w:t>.</w:t>
      </w:r>
      <w:r w:rsidR="001A642F" w:rsidRPr="00AE54E4">
        <w:rPr>
          <w:rFonts w:cs="Arial"/>
        </w:rPr>
        <w:t xml:space="preserve">  Formerly known as HMS Dolphin, this part of the site is not currently in substantial use.   It previously accommodated a former training facility which was then reused more recently to support a Field Hospital base.  A proportion of the buildings are in poor condition, many of which are redundant.  This part of the site also accommodates several Listed buildings – including the SETT. </w:t>
      </w:r>
    </w:p>
    <w:p w14:paraId="398EAC9F" w14:textId="77777777" w:rsidR="001A642F" w:rsidRPr="00AE54E4" w:rsidRDefault="001A642F" w:rsidP="0071488E">
      <w:pPr>
        <w:pStyle w:val="ListParagraph"/>
        <w:rPr>
          <w:rFonts w:cs="Arial"/>
        </w:rPr>
      </w:pPr>
    </w:p>
    <w:p w14:paraId="31812B7A" w14:textId="742C3A4B" w:rsidR="001A642F" w:rsidRPr="00AE54E4" w:rsidRDefault="00ED656F" w:rsidP="006F2DC7">
      <w:pPr>
        <w:pStyle w:val="ListParagraph"/>
        <w:numPr>
          <w:ilvl w:val="0"/>
          <w:numId w:val="8"/>
        </w:numPr>
        <w:contextualSpacing w:val="0"/>
        <w:rPr>
          <w:rFonts w:cs="Arial"/>
        </w:rPr>
      </w:pPr>
      <w:r w:rsidRPr="00AE54E4">
        <w:rPr>
          <w:rFonts w:cs="Arial"/>
          <w:b/>
          <w:bCs/>
        </w:rPr>
        <w:t>Blockhouse 2</w:t>
      </w:r>
      <w:r w:rsidR="001A642F" w:rsidRPr="00AE54E4">
        <w:rPr>
          <w:rFonts w:cs="Arial"/>
          <w:b/>
          <w:bCs/>
        </w:rPr>
        <w:t>.</w:t>
      </w:r>
      <w:r w:rsidR="001A642F" w:rsidRPr="00AE54E4">
        <w:rPr>
          <w:rFonts w:cs="Arial"/>
        </w:rPr>
        <w:t xml:space="preserve">  This site is currently occupied by the Army as well as accommodating the Submarine Museum, the Hornet Sailing Club and the Joint Services Adventurous Sailing Training Centre (JSASTC). </w:t>
      </w:r>
    </w:p>
    <w:p w14:paraId="436DA762" w14:textId="77777777" w:rsidR="001A642F" w:rsidRPr="00AE54E4" w:rsidRDefault="001A642F" w:rsidP="0071488E">
      <w:pPr>
        <w:rPr>
          <w:rFonts w:cs="Arial"/>
        </w:rPr>
      </w:pPr>
    </w:p>
    <w:p w14:paraId="60BB400E" w14:textId="19290A82" w:rsidR="001A642F" w:rsidRPr="00AE54E4" w:rsidRDefault="00ED656F" w:rsidP="006F2DC7">
      <w:pPr>
        <w:pStyle w:val="ListParagraph"/>
        <w:numPr>
          <w:ilvl w:val="0"/>
          <w:numId w:val="8"/>
        </w:numPr>
        <w:contextualSpacing w:val="0"/>
        <w:rPr>
          <w:rFonts w:cs="Arial"/>
          <w:b/>
          <w:bCs/>
        </w:rPr>
      </w:pPr>
      <w:r w:rsidRPr="00AE54E4">
        <w:rPr>
          <w:rFonts w:cs="Arial"/>
          <w:b/>
          <w:bCs/>
        </w:rPr>
        <w:t>Blockhouse 3</w:t>
      </w:r>
      <w:r w:rsidR="001A642F" w:rsidRPr="00AE54E4">
        <w:rPr>
          <w:rFonts w:cs="Arial"/>
          <w:b/>
          <w:bCs/>
        </w:rPr>
        <w:t>.</w:t>
      </w:r>
      <w:r w:rsidR="001A642F" w:rsidRPr="00AE54E4">
        <w:rPr>
          <w:rFonts w:cs="Arial"/>
        </w:rPr>
        <w:t xml:space="preserve">  This site is currently occupied by the Army and located on the northern side of Haslar Road. The site is used to store JSASTC and Hornet Sailing Club yachts and is home to the Gosport Sea Cadets. </w:t>
      </w:r>
    </w:p>
    <w:p w14:paraId="0845C557" w14:textId="1D414D95" w:rsidR="005E4B22" w:rsidRPr="00AE54E4" w:rsidRDefault="005E4B22" w:rsidP="001A642F">
      <w:pPr>
        <w:rPr>
          <w:rFonts w:cs="Arial"/>
        </w:rPr>
      </w:pPr>
    </w:p>
    <w:p w14:paraId="012F595E" w14:textId="1903FA3A" w:rsidR="001A642F" w:rsidRPr="00AE54E4" w:rsidRDefault="001A642F" w:rsidP="001A642F">
      <w:pPr>
        <w:jc w:val="both"/>
        <w:rPr>
          <w:rFonts w:cs="Arial"/>
          <w:b/>
          <w:bCs/>
        </w:rPr>
      </w:pPr>
      <w:r w:rsidRPr="00AE54E4">
        <w:rPr>
          <w:rFonts w:cs="Arial"/>
          <w:b/>
          <w:lang w:val="en-US"/>
        </w:rPr>
        <w:t>1.4</w:t>
      </w:r>
      <w:r w:rsidR="006C4B65" w:rsidRPr="00AE54E4">
        <w:rPr>
          <w:rFonts w:cs="Arial"/>
          <w:b/>
          <w:lang w:val="en-US"/>
        </w:rPr>
        <w:tab/>
      </w:r>
      <w:r w:rsidRPr="00AE54E4">
        <w:rPr>
          <w:rFonts w:cs="Arial"/>
          <w:b/>
          <w:bCs/>
        </w:rPr>
        <w:t>Brief History of the SETT</w:t>
      </w:r>
    </w:p>
    <w:p w14:paraId="6F1A8CD9" w14:textId="4FC63014" w:rsidR="006C4B65" w:rsidRPr="00AE54E4" w:rsidRDefault="006C4B65" w:rsidP="006C4B65">
      <w:pPr>
        <w:rPr>
          <w:rFonts w:cs="Arial"/>
          <w:b/>
          <w:lang w:val="en-US"/>
        </w:rPr>
      </w:pPr>
    </w:p>
    <w:p w14:paraId="7250B18F" w14:textId="15BC60E2" w:rsidR="001A642F" w:rsidRPr="00AE54E4" w:rsidRDefault="001A642F" w:rsidP="0071488E">
      <w:pPr>
        <w:rPr>
          <w:rFonts w:cs="Arial"/>
        </w:rPr>
      </w:pPr>
      <w:r w:rsidRPr="00AE54E4">
        <w:rPr>
          <w:rFonts w:cs="Arial"/>
        </w:rPr>
        <w:t xml:space="preserve">The Naval Submarine Service originally located to </w:t>
      </w:r>
      <w:r w:rsidR="0040751D" w:rsidRPr="00AE54E4">
        <w:rPr>
          <w:rFonts w:cs="Arial"/>
        </w:rPr>
        <w:t>Blockhouse</w:t>
      </w:r>
      <w:r w:rsidRPr="00AE54E4">
        <w:rPr>
          <w:rFonts w:cs="Arial"/>
        </w:rPr>
        <w:t xml:space="preserve"> in 1904-05 when the site was named HMS Dolphin.  Following their gradual expansion of operations on the site, plans for the SETT were originally drawn up in 1950. The large tank was fully operational by 1954 and became a compulsory part of training for all Royal Navy Submariners who trained between 1954 and 2009.  </w:t>
      </w:r>
    </w:p>
    <w:p w14:paraId="7A75BD57" w14:textId="5E66200B" w:rsidR="00780A9C" w:rsidRPr="00AE54E4" w:rsidRDefault="00780A9C" w:rsidP="0071488E">
      <w:pPr>
        <w:rPr>
          <w:rFonts w:cs="Arial"/>
        </w:rPr>
      </w:pPr>
    </w:p>
    <w:p w14:paraId="15148201" w14:textId="77777777" w:rsidR="009714A6" w:rsidRPr="00AE54E4" w:rsidRDefault="009714A6" w:rsidP="009714A6">
      <w:pPr>
        <w:rPr>
          <w:rFonts w:cs="Arial"/>
        </w:rPr>
      </w:pPr>
      <w:r w:rsidRPr="00AE54E4">
        <w:rPr>
          <w:rFonts w:cs="Arial"/>
        </w:rPr>
        <w:t xml:space="preserve">The site and its setting are nationally important.  The building is protected both in statute as well as by national and planning policy in recognition of its special interest and significance through designation as a Listed building and the context of the surrounding Conservation Area in which it lies. </w:t>
      </w:r>
    </w:p>
    <w:p w14:paraId="10A3A1DA" w14:textId="77777777" w:rsidR="009714A6" w:rsidRPr="00AE54E4" w:rsidRDefault="009714A6" w:rsidP="0071488E">
      <w:pPr>
        <w:rPr>
          <w:rFonts w:cs="Arial"/>
        </w:rPr>
      </w:pPr>
    </w:p>
    <w:p w14:paraId="0EE83186" w14:textId="1242B867" w:rsidR="00780A9C" w:rsidRPr="00AE54E4" w:rsidRDefault="00440D1C" w:rsidP="0071488E">
      <w:pPr>
        <w:rPr>
          <w:rFonts w:cs="Arial"/>
        </w:rPr>
      </w:pPr>
      <w:r w:rsidRPr="00AE54E4">
        <w:rPr>
          <w:rFonts w:cs="Arial"/>
        </w:rPr>
        <w:t xml:space="preserve">The SETT is a Grade II Listed Building with the full listed description contained in </w:t>
      </w:r>
      <w:r w:rsidR="009714A6" w:rsidRPr="00AE54E4">
        <w:rPr>
          <w:rFonts w:cs="Arial"/>
        </w:rPr>
        <w:t xml:space="preserve">Appendix </w:t>
      </w:r>
      <w:r w:rsidR="007324D2" w:rsidRPr="00AE54E4">
        <w:rPr>
          <w:rFonts w:cs="Arial"/>
        </w:rPr>
        <w:t>2</w:t>
      </w:r>
      <w:r w:rsidR="009714A6" w:rsidRPr="00AE54E4">
        <w:rPr>
          <w:rFonts w:cs="Arial"/>
        </w:rPr>
        <w:t xml:space="preserve"> and a link included in </w:t>
      </w:r>
      <w:r w:rsidRPr="00AE54E4">
        <w:rPr>
          <w:rFonts w:cs="Arial"/>
        </w:rPr>
        <w:t>the footnote.</w:t>
      </w:r>
      <w:r w:rsidRPr="00AE54E4">
        <w:rPr>
          <w:rStyle w:val="FootnoteReference"/>
          <w:rFonts w:cs="Arial"/>
        </w:rPr>
        <w:footnoteReference w:id="1"/>
      </w:r>
      <w:r w:rsidRPr="00AE54E4">
        <w:rPr>
          <w:rFonts w:cs="Arial"/>
        </w:rPr>
        <w:t xml:space="preserve"> It is listed for the following principal reasons:</w:t>
      </w:r>
    </w:p>
    <w:p w14:paraId="1E853AC7" w14:textId="7B1E45ED" w:rsidR="00440D1C" w:rsidRPr="00AE54E4" w:rsidRDefault="00440D1C" w:rsidP="0071488E">
      <w:pPr>
        <w:rPr>
          <w:rFonts w:cs="Arial"/>
        </w:rPr>
      </w:pPr>
    </w:p>
    <w:p w14:paraId="323F9CBD" w14:textId="77777777" w:rsidR="00440D1C" w:rsidRPr="00AE54E4" w:rsidRDefault="00440D1C" w:rsidP="006F2DC7">
      <w:pPr>
        <w:pStyle w:val="ListParagraph"/>
        <w:numPr>
          <w:ilvl w:val="0"/>
          <w:numId w:val="16"/>
        </w:numPr>
        <w:rPr>
          <w:rFonts w:cs="Arial"/>
        </w:rPr>
      </w:pPr>
      <w:r w:rsidRPr="00AE54E4">
        <w:rPr>
          <w:rFonts w:cs="Arial"/>
        </w:rPr>
        <w:t>Rarity: this is the only escape training tank in the country and one of only a handful internationally;</w:t>
      </w:r>
    </w:p>
    <w:p w14:paraId="7FAF6040" w14:textId="77777777" w:rsidR="009714A6" w:rsidRPr="00AE54E4" w:rsidRDefault="00440D1C" w:rsidP="006F2DC7">
      <w:pPr>
        <w:pStyle w:val="ListParagraph"/>
        <w:numPr>
          <w:ilvl w:val="0"/>
          <w:numId w:val="16"/>
        </w:numPr>
        <w:rPr>
          <w:rFonts w:cs="Arial"/>
        </w:rPr>
      </w:pPr>
      <w:r w:rsidRPr="00AE54E4">
        <w:rPr>
          <w:rFonts w:cs="Arial"/>
        </w:rPr>
        <w:lastRenderedPageBreak/>
        <w:t>Technological and historic interest: designed following an Admiralty review of safety training for submariners it has been used to train every Royal Navy submariner from 1954 to 2009, which is a testament</w:t>
      </w:r>
      <w:r w:rsidR="009714A6" w:rsidRPr="00AE54E4">
        <w:rPr>
          <w:rFonts w:cs="Arial"/>
        </w:rPr>
        <w:t xml:space="preserve"> to the success of its original design. As such it represents a development of national significance;</w:t>
      </w:r>
    </w:p>
    <w:p w14:paraId="54750F11" w14:textId="58B6A0BB" w:rsidR="009714A6" w:rsidRPr="00AE54E4" w:rsidRDefault="009714A6" w:rsidP="006F2DC7">
      <w:pPr>
        <w:pStyle w:val="ListParagraph"/>
        <w:numPr>
          <w:ilvl w:val="0"/>
          <w:numId w:val="16"/>
        </w:numPr>
        <w:rPr>
          <w:rFonts w:cs="Arial"/>
        </w:rPr>
      </w:pPr>
      <w:r w:rsidRPr="00AE54E4">
        <w:rPr>
          <w:rFonts w:cs="Arial"/>
        </w:rPr>
        <w:t>International influence: the SETT has also been used to train foreign military personnel and their trainer</w:t>
      </w:r>
      <w:r w:rsidR="0040751D" w:rsidRPr="00AE54E4">
        <w:rPr>
          <w:rFonts w:cs="Arial"/>
        </w:rPr>
        <w:t>s</w:t>
      </w:r>
      <w:r w:rsidRPr="00AE54E4">
        <w:rPr>
          <w:rFonts w:cs="Arial"/>
        </w:rPr>
        <w:t xml:space="preserve"> and was used as a model for other SETTs such as that in Turkey;</w:t>
      </w:r>
    </w:p>
    <w:p w14:paraId="171269C1" w14:textId="77777777" w:rsidR="009714A6" w:rsidRPr="00AE54E4" w:rsidRDefault="009714A6" w:rsidP="006F2DC7">
      <w:pPr>
        <w:pStyle w:val="ListParagraph"/>
        <w:numPr>
          <w:ilvl w:val="0"/>
          <w:numId w:val="16"/>
        </w:numPr>
        <w:rPr>
          <w:rFonts w:cs="Arial"/>
        </w:rPr>
      </w:pPr>
      <w:r w:rsidRPr="00AE54E4">
        <w:rPr>
          <w:rFonts w:cs="Arial"/>
        </w:rPr>
        <w:t>Intactness: while it is acknowledged that there have been some alterations, as is to be expected in a facility with such a long life span, these are of a minor nature and the fundamental original form of the building remains legible and this is particularly true of the tank at the core of the facility;</w:t>
      </w:r>
    </w:p>
    <w:p w14:paraId="0C99C239" w14:textId="0570B9B6" w:rsidR="009714A6" w:rsidRPr="00AE54E4" w:rsidRDefault="009714A6" w:rsidP="006F2DC7">
      <w:pPr>
        <w:pStyle w:val="ListParagraph"/>
        <w:numPr>
          <w:ilvl w:val="0"/>
          <w:numId w:val="16"/>
        </w:numPr>
        <w:rPr>
          <w:rFonts w:cs="Arial"/>
        </w:rPr>
      </w:pPr>
      <w:r w:rsidRPr="00AE54E4">
        <w:rPr>
          <w:rFonts w:cs="Arial"/>
        </w:rPr>
        <w:t>Architectural interest: a substantially intact, purpose-designed military training facility. The tower is also a striking feature on the Gosport sky-line.</w:t>
      </w:r>
    </w:p>
    <w:p w14:paraId="1CB8A832" w14:textId="77777777" w:rsidR="001A642F" w:rsidRPr="00AE54E4" w:rsidRDefault="001A642F" w:rsidP="0071488E">
      <w:pPr>
        <w:rPr>
          <w:rFonts w:cs="Arial"/>
        </w:rPr>
      </w:pPr>
    </w:p>
    <w:p w14:paraId="7662D707" w14:textId="5A15D71C" w:rsidR="00235BF2" w:rsidRPr="00AE54E4" w:rsidRDefault="00235BF2" w:rsidP="00235BF2">
      <w:pPr>
        <w:rPr>
          <w:rFonts w:cs="Arial"/>
        </w:rPr>
      </w:pPr>
      <w:r w:rsidRPr="00AE54E4">
        <w:rPr>
          <w:rFonts w:cs="Arial"/>
        </w:rPr>
        <w:t xml:space="preserve">Appendix </w:t>
      </w:r>
      <w:r w:rsidR="007324D2" w:rsidRPr="00AE54E4">
        <w:rPr>
          <w:rFonts w:cs="Arial"/>
        </w:rPr>
        <w:t>3</w:t>
      </w:r>
      <w:r w:rsidRPr="00AE54E4">
        <w:rPr>
          <w:rFonts w:cs="Arial"/>
        </w:rPr>
        <w:t xml:space="preserve"> includes a copy of the floorplans relating to the SETT.</w:t>
      </w:r>
    </w:p>
    <w:p w14:paraId="007B5255" w14:textId="3157BA1D" w:rsidR="001A642F" w:rsidRPr="00AE54E4" w:rsidRDefault="001A642F" w:rsidP="0071488E">
      <w:pPr>
        <w:rPr>
          <w:rFonts w:cs="Arial"/>
        </w:rPr>
      </w:pPr>
    </w:p>
    <w:p w14:paraId="446D0200" w14:textId="5ECF8BB9" w:rsidR="009714A6" w:rsidRPr="00AE54E4" w:rsidRDefault="00235BF2" w:rsidP="0071488E">
      <w:pPr>
        <w:rPr>
          <w:rFonts w:cs="Arial"/>
        </w:rPr>
      </w:pPr>
      <w:r w:rsidRPr="00AE54E4">
        <w:rPr>
          <w:rFonts w:cs="Arial"/>
        </w:rPr>
        <w:t>The building and the wider Blockhouse site is located within the Haslar Peninsula Conservation Area.  The link to the Conservation Area Appraisal is contained in the footnote</w:t>
      </w:r>
      <w:r w:rsidRPr="00AE54E4">
        <w:rPr>
          <w:rStyle w:val="FootnoteReference"/>
          <w:rFonts w:cs="Arial"/>
        </w:rPr>
        <w:footnoteReference w:id="2"/>
      </w:r>
      <w:r w:rsidRPr="00AE54E4">
        <w:rPr>
          <w:rFonts w:cs="Arial"/>
        </w:rPr>
        <w:t>. Please note the SETT has been listed since the Conservation Area Appraisal has been adopted.</w:t>
      </w:r>
    </w:p>
    <w:p w14:paraId="08750EE7" w14:textId="77777777" w:rsidR="009714A6" w:rsidRPr="00AE54E4" w:rsidRDefault="009714A6" w:rsidP="0071488E">
      <w:pPr>
        <w:rPr>
          <w:rFonts w:cs="Arial"/>
        </w:rPr>
      </w:pPr>
    </w:p>
    <w:p w14:paraId="16123F4E" w14:textId="1B9D9BF7" w:rsidR="001A642F" w:rsidRPr="00AE54E4" w:rsidRDefault="001A642F" w:rsidP="0071488E">
      <w:pPr>
        <w:rPr>
          <w:rFonts w:cs="Arial"/>
        </w:rPr>
      </w:pPr>
      <w:r w:rsidRPr="00AE54E4">
        <w:rPr>
          <w:rFonts w:cs="Arial"/>
        </w:rPr>
        <w:t xml:space="preserve">The building is currently un-used but for health and safety reasons, the tank remains full with chlorinated water which is heated to a constant temperature. </w:t>
      </w:r>
    </w:p>
    <w:p w14:paraId="55133E32" w14:textId="77777777" w:rsidR="001A642F" w:rsidRPr="00AE54E4" w:rsidRDefault="001A642F" w:rsidP="0071488E">
      <w:pPr>
        <w:rPr>
          <w:rFonts w:cs="Arial"/>
        </w:rPr>
      </w:pPr>
    </w:p>
    <w:p w14:paraId="690579CE" w14:textId="01456E7B" w:rsidR="00CA4C85" w:rsidRPr="00AE54E4" w:rsidRDefault="00CA4C85" w:rsidP="00780A9C">
      <w:pPr>
        <w:pStyle w:val="Default"/>
      </w:pPr>
    </w:p>
    <w:p w14:paraId="1F46CA78" w14:textId="39A55B82" w:rsidR="00CA4C85" w:rsidRPr="00AE54E4" w:rsidRDefault="00780A9C" w:rsidP="00780A9C">
      <w:pPr>
        <w:pStyle w:val="Default"/>
        <w:rPr>
          <w:b/>
        </w:rPr>
      </w:pPr>
      <w:r w:rsidRPr="00AE54E4">
        <w:rPr>
          <w:b/>
        </w:rPr>
        <w:t>1.5 National and Local Policy</w:t>
      </w:r>
    </w:p>
    <w:p w14:paraId="17B45814" w14:textId="2E80FB6F" w:rsidR="00780A9C" w:rsidRPr="00AE54E4" w:rsidRDefault="00780A9C" w:rsidP="00780A9C">
      <w:pPr>
        <w:pStyle w:val="Default"/>
      </w:pPr>
    </w:p>
    <w:p w14:paraId="253A9D4E" w14:textId="37A1A9D5" w:rsidR="00780A9C" w:rsidRPr="00AE54E4" w:rsidRDefault="00780A9C" w:rsidP="00780A9C">
      <w:pPr>
        <w:pStyle w:val="Default"/>
      </w:pPr>
      <w:r w:rsidRPr="00AE54E4">
        <w:t>It will be necessary to consider national and local policy when considering the future of the SETT. Links to the relevant documents are included as footnotes</w:t>
      </w:r>
      <w:r w:rsidR="00A608ED" w:rsidRPr="00AE54E4">
        <w:t>.</w:t>
      </w:r>
    </w:p>
    <w:p w14:paraId="3A3E3693" w14:textId="3908DFCE" w:rsidR="00780A9C" w:rsidRPr="00AE54E4" w:rsidRDefault="00780A9C" w:rsidP="00780A9C">
      <w:pPr>
        <w:pStyle w:val="Default"/>
      </w:pPr>
    </w:p>
    <w:p w14:paraId="247EAF17" w14:textId="2EF0D139" w:rsidR="00780A9C" w:rsidRPr="00AE54E4" w:rsidRDefault="00780A9C" w:rsidP="00780A9C">
      <w:pPr>
        <w:pStyle w:val="Default"/>
      </w:pPr>
      <w:r w:rsidRPr="00AE54E4">
        <w:t>Nationally this includes guidance in the Government’s National Planning Policy Framework</w:t>
      </w:r>
      <w:r w:rsidR="001B5BB5" w:rsidRPr="00AE54E4">
        <w:t xml:space="preserve"> (July 2021</w:t>
      </w:r>
      <w:r w:rsidR="00A608ED" w:rsidRPr="00AE54E4">
        <w:t xml:space="preserve">) </w:t>
      </w:r>
      <w:r w:rsidR="00A608ED" w:rsidRPr="00AE54E4">
        <w:rPr>
          <w:rStyle w:val="FootnoteReference"/>
        </w:rPr>
        <w:footnoteReference w:id="3"/>
      </w:r>
      <w:r w:rsidRPr="00AE54E4">
        <w:t xml:space="preserve"> </w:t>
      </w:r>
      <w:r w:rsidR="00A608ED" w:rsidRPr="00AE54E4">
        <w:t>and the successful consultant will need to follow this advice when making thei</w:t>
      </w:r>
      <w:r w:rsidR="005801AD" w:rsidRPr="00AE54E4">
        <w:t>r</w:t>
      </w:r>
      <w:r w:rsidR="0040751D" w:rsidRPr="00AE54E4">
        <w:t xml:space="preserve"> recommendations. T</w:t>
      </w:r>
      <w:r w:rsidR="005801AD" w:rsidRPr="00AE54E4">
        <w:t>he guidance in Section 16 on conserving</w:t>
      </w:r>
      <w:r w:rsidR="00A608ED" w:rsidRPr="00AE54E4">
        <w:t xml:space="preserve"> and enhancing the historic environment</w:t>
      </w:r>
      <w:r w:rsidR="0040751D" w:rsidRPr="00AE54E4">
        <w:t xml:space="preserve"> is of particular relevance</w:t>
      </w:r>
      <w:r w:rsidR="00A608ED" w:rsidRPr="00AE54E4">
        <w:t>.</w:t>
      </w:r>
    </w:p>
    <w:p w14:paraId="7F9C9CC7" w14:textId="7349B4E8" w:rsidR="00780A9C" w:rsidRPr="00AE54E4" w:rsidRDefault="00780A9C" w:rsidP="00780A9C">
      <w:pPr>
        <w:pStyle w:val="Default"/>
      </w:pPr>
    </w:p>
    <w:p w14:paraId="51B60362" w14:textId="77E67799" w:rsidR="001B5BB5" w:rsidRPr="00AE54E4" w:rsidRDefault="005801AD" w:rsidP="00780A9C">
      <w:pPr>
        <w:pStyle w:val="Default"/>
      </w:pPr>
      <w:r w:rsidRPr="00AE54E4">
        <w:t>The</w:t>
      </w:r>
      <w:r w:rsidR="001B5BB5" w:rsidRPr="00AE54E4">
        <w:t xml:space="preserve"> national Planning Policy Guidance prov</w:t>
      </w:r>
      <w:r w:rsidR="00AC502A" w:rsidRPr="00AE54E4">
        <w:t>ides further guidance</w:t>
      </w:r>
      <w:r w:rsidRPr="00AE54E4">
        <w:t xml:space="preserve"> including the section on the Historic Environment.</w:t>
      </w:r>
      <w:r w:rsidRPr="00AE54E4">
        <w:rPr>
          <w:rStyle w:val="FootnoteReference"/>
        </w:rPr>
        <w:footnoteReference w:id="4"/>
      </w:r>
    </w:p>
    <w:p w14:paraId="06B7229B" w14:textId="0CFA0D06" w:rsidR="00AC502A" w:rsidRPr="00AE54E4" w:rsidRDefault="00AC502A" w:rsidP="00780A9C">
      <w:pPr>
        <w:pStyle w:val="Default"/>
      </w:pPr>
    </w:p>
    <w:p w14:paraId="6DAE12E7" w14:textId="5A999552" w:rsidR="00780A9C" w:rsidRPr="00AE54E4" w:rsidRDefault="00780A9C" w:rsidP="00780A9C">
      <w:pPr>
        <w:pStyle w:val="Default"/>
      </w:pPr>
      <w:r w:rsidRPr="00AE54E4">
        <w:t>The Gosport Borough Local Plan 2011-2029</w:t>
      </w:r>
      <w:r w:rsidR="005801AD" w:rsidRPr="00AE54E4">
        <w:rPr>
          <w:rStyle w:val="FootnoteReference"/>
        </w:rPr>
        <w:footnoteReference w:id="5"/>
      </w:r>
      <w:r w:rsidRPr="00AE54E4">
        <w:t xml:space="preserve"> (adop</w:t>
      </w:r>
      <w:r w:rsidR="00A71CBE" w:rsidRPr="00AE54E4">
        <w:t>ted 2015) sets out local policies</w:t>
      </w:r>
      <w:r w:rsidRPr="00AE54E4">
        <w:t xml:space="preserve"> to heritage assets and the Blockhouse site itself.  </w:t>
      </w:r>
    </w:p>
    <w:p w14:paraId="10E69C8A" w14:textId="7FAC30AC" w:rsidR="00780A9C" w:rsidRPr="00AE54E4" w:rsidRDefault="00780A9C" w:rsidP="00780A9C">
      <w:pPr>
        <w:pStyle w:val="Default"/>
      </w:pPr>
    </w:p>
    <w:p w14:paraId="0BD42801" w14:textId="401A3B3B" w:rsidR="00780A9C" w:rsidRPr="00AE54E4" w:rsidRDefault="00780A9C" w:rsidP="00780A9C">
      <w:pPr>
        <w:pStyle w:val="Default"/>
      </w:pPr>
      <w:r w:rsidRPr="00AE54E4">
        <w:t xml:space="preserve">Key policies </w:t>
      </w:r>
      <w:r w:rsidR="00A71CBE" w:rsidRPr="00AE54E4">
        <w:t>in relation to this particular brief include:</w:t>
      </w:r>
    </w:p>
    <w:p w14:paraId="575AAC2F" w14:textId="0EFE323C" w:rsidR="00A71CBE" w:rsidRPr="00AE54E4" w:rsidRDefault="00A71CBE" w:rsidP="00780A9C">
      <w:pPr>
        <w:pStyle w:val="Default"/>
      </w:pPr>
      <w:r w:rsidRPr="00AE54E4">
        <w:t>Policy LP6: Haslar Peninsula</w:t>
      </w:r>
    </w:p>
    <w:p w14:paraId="48D9DCB3" w14:textId="6182FFC5" w:rsidR="00A71CBE" w:rsidRPr="00AE54E4" w:rsidRDefault="00A71CBE" w:rsidP="00780A9C">
      <w:pPr>
        <w:pStyle w:val="Default"/>
      </w:pPr>
      <w:r w:rsidRPr="00AE54E4">
        <w:t>Policy LP10: Design</w:t>
      </w:r>
    </w:p>
    <w:p w14:paraId="799B174F" w14:textId="1C4F5724" w:rsidR="00A71CBE" w:rsidRPr="00AE54E4" w:rsidRDefault="00A71CBE" w:rsidP="00780A9C">
      <w:pPr>
        <w:pStyle w:val="Default"/>
      </w:pPr>
      <w:r w:rsidRPr="00AE54E4">
        <w:t xml:space="preserve">Policy LP11: Designated </w:t>
      </w:r>
      <w:r w:rsidR="0040751D" w:rsidRPr="00AE54E4">
        <w:t>H</w:t>
      </w:r>
      <w:r w:rsidRPr="00AE54E4">
        <w:t xml:space="preserve">eritage Assets- Listed Buildings, Scheduled Ancient </w:t>
      </w:r>
      <w:r w:rsidR="0040751D" w:rsidRPr="00AE54E4">
        <w:t>M</w:t>
      </w:r>
      <w:r w:rsidRPr="00AE54E4">
        <w:t>onument and Registered Parks and Gardens</w:t>
      </w:r>
    </w:p>
    <w:p w14:paraId="0D5BFD86" w14:textId="250EC836" w:rsidR="00A71CBE" w:rsidRPr="00AE54E4" w:rsidRDefault="00A71CBE" w:rsidP="00780A9C">
      <w:pPr>
        <w:pStyle w:val="Default"/>
      </w:pPr>
      <w:r w:rsidRPr="00AE54E4">
        <w:t>Policy LP12: Conservation Areas</w:t>
      </w:r>
    </w:p>
    <w:p w14:paraId="5E301ABA" w14:textId="77777777" w:rsidR="00A71CBE" w:rsidRPr="00AE54E4" w:rsidRDefault="00A71CBE" w:rsidP="00780A9C">
      <w:pPr>
        <w:pStyle w:val="Default"/>
      </w:pPr>
    </w:p>
    <w:p w14:paraId="0C5C8921" w14:textId="5863F7F9" w:rsidR="00780A9C" w:rsidRPr="00AE54E4" w:rsidRDefault="00780A9C" w:rsidP="00780A9C">
      <w:pPr>
        <w:pStyle w:val="Default"/>
      </w:pPr>
    </w:p>
    <w:p w14:paraId="0B1CBC9F" w14:textId="79899973" w:rsidR="00780A9C" w:rsidRPr="00AE54E4" w:rsidRDefault="00780A9C" w:rsidP="00780A9C">
      <w:pPr>
        <w:pStyle w:val="Default"/>
      </w:pPr>
      <w:r w:rsidRPr="00AE54E4">
        <w:t>The emerging</w:t>
      </w:r>
      <w:r w:rsidR="00A71CBE" w:rsidRPr="00AE54E4">
        <w:t xml:space="preserve"> Gosport Borough L</w:t>
      </w:r>
      <w:r w:rsidRPr="00AE54E4">
        <w:t xml:space="preserve">ocal Plan </w:t>
      </w:r>
      <w:r w:rsidR="00A71CBE" w:rsidRPr="00AE54E4">
        <w:t>2038</w:t>
      </w:r>
      <w:r w:rsidR="00A71CBE" w:rsidRPr="00AE54E4">
        <w:rPr>
          <w:rStyle w:val="FootnoteReference"/>
        </w:rPr>
        <w:footnoteReference w:id="6"/>
      </w:r>
      <w:r w:rsidR="00A71CBE" w:rsidRPr="00AE54E4">
        <w:t xml:space="preserve"> </w:t>
      </w:r>
      <w:r w:rsidRPr="00AE54E4">
        <w:t>which has reached the Regulation</w:t>
      </w:r>
      <w:r w:rsidR="00A71CBE" w:rsidRPr="00AE54E4">
        <w:t xml:space="preserve"> 1</w:t>
      </w:r>
      <w:r w:rsidRPr="00AE54E4">
        <w:t xml:space="preserve">8 stage similarly includes heritage policies and a more detailed policy on the Blockhouse site. Key </w:t>
      </w:r>
      <w:r w:rsidR="00235BF2" w:rsidRPr="00AE54E4">
        <w:t>policies</w:t>
      </w:r>
      <w:r w:rsidR="00A71CBE" w:rsidRPr="00AE54E4">
        <w:t xml:space="preserve"> of relevance to this study are set out below but it is important to note that these policies have only reached an early stage in the plan-making process</w:t>
      </w:r>
      <w:r w:rsidRPr="00AE54E4">
        <w:t>:</w:t>
      </w:r>
    </w:p>
    <w:p w14:paraId="2ED0CEF5" w14:textId="2BEBE060" w:rsidR="00A71CBE" w:rsidRPr="00AE54E4" w:rsidRDefault="00A71CBE" w:rsidP="00780A9C">
      <w:pPr>
        <w:pStyle w:val="Default"/>
      </w:pPr>
    </w:p>
    <w:p w14:paraId="130B7E39" w14:textId="362454D5" w:rsidR="00A71CBE" w:rsidRPr="00AE54E4" w:rsidRDefault="00A71CBE" w:rsidP="00780A9C">
      <w:pPr>
        <w:pStyle w:val="Default"/>
      </w:pPr>
      <w:r w:rsidRPr="00AE54E4">
        <w:t>Policy D3: Urban Regeneration Areas</w:t>
      </w:r>
    </w:p>
    <w:p w14:paraId="2AD742C7" w14:textId="0C535D28" w:rsidR="00A71CBE" w:rsidRPr="00AE54E4" w:rsidRDefault="00A71CBE" w:rsidP="00780A9C">
      <w:pPr>
        <w:pStyle w:val="Default"/>
      </w:pPr>
      <w:r w:rsidRPr="00AE54E4">
        <w:t>Policy D10:  Heritage Assets</w:t>
      </w:r>
    </w:p>
    <w:p w14:paraId="09A07B8D" w14:textId="7D27E443" w:rsidR="00A71CBE" w:rsidRPr="00AE54E4" w:rsidRDefault="00A71CBE" w:rsidP="00780A9C">
      <w:pPr>
        <w:pStyle w:val="Default"/>
      </w:pPr>
      <w:r w:rsidRPr="00AE54E4">
        <w:t>Policy SS1: Gosport Waterfront – Marine Employment</w:t>
      </w:r>
    </w:p>
    <w:p w14:paraId="7E6CDC5E" w14:textId="0BE5810E" w:rsidR="00A71CBE" w:rsidRPr="00AE54E4" w:rsidRDefault="00A71CBE" w:rsidP="00780A9C">
      <w:pPr>
        <w:pStyle w:val="Default"/>
      </w:pPr>
      <w:r w:rsidRPr="00AE54E4">
        <w:t>Policy SS4: Blockhouse and the Gunboat Sheds</w:t>
      </w:r>
    </w:p>
    <w:p w14:paraId="5736CA91" w14:textId="17694685" w:rsidR="00A71CBE" w:rsidRPr="00AE54E4" w:rsidRDefault="00A71CBE" w:rsidP="00780A9C">
      <w:pPr>
        <w:pStyle w:val="Default"/>
      </w:pPr>
      <w:r w:rsidRPr="00AE54E4">
        <w:t>Policy SS5: Fort Blockhouse</w:t>
      </w:r>
    </w:p>
    <w:p w14:paraId="3CC313FD" w14:textId="77777777" w:rsidR="00A71CBE" w:rsidRPr="00AE54E4" w:rsidRDefault="00A71CBE" w:rsidP="00780A9C">
      <w:pPr>
        <w:pStyle w:val="Default"/>
      </w:pPr>
    </w:p>
    <w:p w14:paraId="6436DD00" w14:textId="7DF57B3E" w:rsidR="00780A9C" w:rsidRPr="00AE54E4" w:rsidRDefault="00780A9C" w:rsidP="00780A9C">
      <w:pPr>
        <w:pStyle w:val="Default"/>
      </w:pPr>
    </w:p>
    <w:p w14:paraId="4D8606B0" w14:textId="77777777" w:rsidR="00780A9C" w:rsidRPr="00AE54E4" w:rsidRDefault="00780A9C" w:rsidP="00780A9C">
      <w:pPr>
        <w:pStyle w:val="Default"/>
      </w:pPr>
    </w:p>
    <w:p w14:paraId="5F1851A7" w14:textId="4FD2107A" w:rsidR="00CA4C85" w:rsidRPr="00AE54E4" w:rsidRDefault="00CA4C85" w:rsidP="00DB6EC0">
      <w:pPr>
        <w:pStyle w:val="Default"/>
        <w:ind w:left="720"/>
      </w:pPr>
    </w:p>
    <w:p w14:paraId="48CEF947" w14:textId="2C84C1AA" w:rsidR="00CA4C85" w:rsidRPr="00AE54E4" w:rsidRDefault="00CA4C85" w:rsidP="00DB6EC0">
      <w:pPr>
        <w:pStyle w:val="Default"/>
        <w:ind w:left="720"/>
      </w:pPr>
    </w:p>
    <w:p w14:paraId="7C066D39" w14:textId="2FF8BD56" w:rsidR="00CA4C85" w:rsidRPr="00AE54E4" w:rsidRDefault="00CA4C85" w:rsidP="00DB6EC0">
      <w:pPr>
        <w:pStyle w:val="Default"/>
        <w:ind w:left="720"/>
      </w:pPr>
    </w:p>
    <w:p w14:paraId="748458E4" w14:textId="67613E10" w:rsidR="00CA4C85" w:rsidRPr="00AE54E4" w:rsidRDefault="00CA4C85" w:rsidP="00DB6EC0">
      <w:pPr>
        <w:pStyle w:val="Default"/>
        <w:ind w:left="720"/>
      </w:pPr>
    </w:p>
    <w:p w14:paraId="1896DBAF" w14:textId="21D2AB8D" w:rsidR="00CA4C85" w:rsidRPr="00AE54E4" w:rsidRDefault="00CA4C85" w:rsidP="00DB6EC0">
      <w:pPr>
        <w:pStyle w:val="Default"/>
        <w:ind w:left="720"/>
      </w:pPr>
    </w:p>
    <w:p w14:paraId="2A0C1365" w14:textId="326E5BDE" w:rsidR="00CA4C85" w:rsidRPr="00AE54E4" w:rsidRDefault="00CA4C85" w:rsidP="00DB6EC0">
      <w:pPr>
        <w:pStyle w:val="Default"/>
        <w:ind w:left="720"/>
      </w:pPr>
    </w:p>
    <w:p w14:paraId="4EC725EB" w14:textId="08862291" w:rsidR="00CA4C85" w:rsidRPr="00AE54E4" w:rsidRDefault="00CA4C85" w:rsidP="00DB6EC0">
      <w:pPr>
        <w:pStyle w:val="Default"/>
        <w:ind w:left="720"/>
      </w:pPr>
    </w:p>
    <w:p w14:paraId="1CE8C47C" w14:textId="6DA1426D" w:rsidR="00CA4C85" w:rsidRPr="00AE54E4" w:rsidRDefault="00CA4C85" w:rsidP="00DB6EC0">
      <w:pPr>
        <w:pStyle w:val="Default"/>
        <w:ind w:left="720"/>
      </w:pPr>
    </w:p>
    <w:p w14:paraId="5E7E2E75" w14:textId="5FD95C27" w:rsidR="00CA4C85" w:rsidRPr="00AE54E4" w:rsidRDefault="00CA4C85" w:rsidP="00DB6EC0">
      <w:pPr>
        <w:pStyle w:val="Default"/>
        <w:ind w:left="720"/>
      </w:pPr>
    </w:p>
    <w:p w14:paraId="30B13144" w14:textId="4C56E5C0" w:rsidR="00CA4C85" w:rsidRPr="00AE54E4" w:rsidRDefault="00CA4C85" w:rsidP="00DB6EC0">
      <w:pPr>
        <w:pStyle w:val="Default"/>
        <w:ind w:left="720"/>
      </w:pPr>
    </w:p>
    <w:p w14:paraId="3CB8D23D" w14:textId="31C32B03" w:rsidR="00CA4C85" w:rsidRPr="00AE54E4" w:rsidRDefault="00CA4C85" w:rsidP="00DB6EC0">
      <w:pPr>
        <w:pStyle w:val="Default"/>
        <w:ind w:left="720"/>
      </w:pPr>
    </w:p>
    <w:p w14:paraId="2755DD19" w14:textId="03A0BB31" w:rsidR="00CA4C85" w:rsidRPr="00AE54E4" w:rsidRDefault="00CA4C85" w:rsidP="00DB6EC0">
      <w:pPr>
        <w:pStyle w:val="Default"/>
        <w:ind w:left="720"/>
      </w:pPr>
    </w:p>
    <w:p w14:paraId="4839FD80" w14:textId="1B46E996" w:rsidR="00A71CBE" w:rsidRPr="00AE54E4" w:rsidRDefault="00A71CBE" w:rsidP="00DB6EC0">
      <w:pPr>
        <w:pStyle w:val="Default"/>
        <w:ind w:left="720"/>
      </w:pPr>
    </w:p>
    <w:p w14:paraId="0A7BD9B7" w14:textId="19FE85CA" w:rsidR="00A71CBE" w:rsidRPr="00AE54E4" w:rsidRDefault="00A71CBE" w:rsidP="00DB6EC0">
      <w:pPr>
        <w:pStyle w:val="Default"/>
        <w:ind w:left="720"/>
      </w:pPr>
    </w:p>
    <w:p w14:paraId="545F692D" w14:textId="0926F339" w:rsidR="00A71CBE" w:rsidRPr="00AE54E4" w:rsidRDefault="00A71CBE" w:rsidP="00DB6EC0">
      <w:pPr>
        <w:pStyle w:val="Default"/>
        <w:ind w:left="720"/>
      </w:pPr>
    </w:p>
    <w:p w14:paraId="364D8569" w14:textId="23F84C40" w:rsidR="00A71CBE" w:rsidRPr="00AE54E4" w:rsidRDefault="00A71CBE" w:rsidP="00DB6EC0">
      <w:pPr>
        <w:pStyle w:val="Default"/>
        <w:ind w:left="720"/>
      </w:pPr>
    </w:p>
    <w:p w14:paraId="0791F69D" w14:textId="3E15B17F" w:rsidR="00A71CBE" w:rsidRPr="00AE54E4" w:rsidRDefault="00A71CBE" w:rsidP="00DB6EC0">
      <w:pPr>
        <w:pStyle w:val="Default"/>
        <w:ind w:left="720"/>
      </w:pPr>
    </w:p>
    <w:p w14:paraId="61471E31" w14:textId="2C5F9ECA" w:rsidR="00A71CBE" w:rsidRPr="00AE54E4" w:rsidRDefault="00A71CBE" w:rsidP="00DB6EC0">
      <w:pPr>
        <w:pStyle w:val="Default"/>
        <w:ind w:left="720"/>
      </w:pPr>
    </w:p>
    <w:p w14:paraId="6B5B6959" w14:textId="77777777" w:rsidR="00A71CBE" w:rsidRPr="00AE54E4" w:rsidRDefault="00A71CBE" w:rsidP="00DB6EC0">
      <w:pPr>
        <w:pStyle w:val="Default"/>
        <w:ind w:left="720"/>
      </w:pPr>
    </w:p>
    <w:p w14:paraId="68444930" w14:textId="62683B42" w:rsidR="00CA4C85" w:rsidRDefault="00CA4C85" w:rsidP="00DB6EC0">
      <w:pPr>
        <w:pStyle w:val="Default"/>
        <w:ind w:left="720"/>
      </w:pPr>
    </w:p>
    <w:p w14:paraId="53B6310C" w14:textId="4DD9263D" w:rsidR="00E36C1A" w:rsidRDefault="00E36C1A" w:rsidP="00DB6EC0">
      <w:pPr>
        <w:pStyle w:val="Default"/>
        <w:ind w:left="720"/>
      </w:pPr>
    </w:p>
    <w:p w14:paraId="1E9CD9CA" w14:textId="77777777" w:rsidR="00E36C1A" w:rsidRPr="00AE54E4" w:rsidRDefault="00E36C1A" w:rsidP="00DB6EC0">
      <w:pPr>
        <w:pStyle w:val="Default"/>
        <w:ind w:left="720"/>
      </w:pPr>
    </w:p>
    <w:p w14:paraId="661E2D01" w14:textId="7328A969" w:rsidR="0005703B" w:rsidRPr="00AE54E4" w:rsidRDefault="00874FCE" w:rsidP="006F2DC7">
      <w:pPr>
        <w:pStyle w:val="Heading1"/>
        <w:numPr>
          <w:ilvl w:val="0"/>
          <w:numId w:val="21"/>
        </w:numPr>
        <w:rPr>
          <w:lang w:val="en-US"/>
        </w:rPr>
      </w:pPr>
      <w:bookmarkStart w:id="2" w:name="_Toc125379456"/>
      <w:r w:rsidRPr="00AE54E4">
        <w:rPr>
          <w:lang w:val="en-US"/>
        </w:rPr>
        <w:lastRenderedPageBreak/>
        <w:t xml:space="preserve">PROJECT </w:t>
      </w:r>
      <w:r w:rsidR="00847888" w:rsidRPr="00AE54E4">
        <w:rPr>
          <w:lang w:val="en-US"/>
        </w:rPr>
        <w:t>SCOPE</w:t>
      </w:r>
      <w:r w:rsidR="006B012D" w:rsidRPr="00AE54E4">
        <w:rPr>
          <w:lang w:val="en-US"/>
        </w:rPr>
        <w:t xml:space="preserve"> AND REQUIREMENTS</w:t>
      </w:r>
      <w:bookmarkEnd w:id="2"/>
    </w:p>
    <w:p w14:paraId="37418C86" w14:textId="77777777" w:rsidR="003D1FEF" w:rsidRPr="00AE54E4" w:rsidRDefault="003D1FEF" w:rsidP="009912DD">
      <w:pPr>
        <w:ind w:left="720"/>
        <w:rPr>
          <w:rFonts w:cs="Arial"/>
          <w:lang w:val="en-US"/>
        </w:rPr>
      </w:pPr>
    </w:p>
    <w:p w14:paraId="6A359252" w14:textId="77777777" w:rsidR="009912DD" w:rsidRPr="00AE54E4" w:rsidRDefault="008D2961" w:rsidP="008D2961">
      <w:pPr>
        <w:rPr>
          <w:rFonts w:cs="Arial"/>
          <w:b/>
        </w:rPr>
      </w:pPr>
      <w:r w:rsidRPr="00AE54E4">
        <w:rPr>
          <w:rFonts w:cs="Arial"/>
          <w:b/>
        </w:rPr>
        <w:t>2.1</w:t>
      </w:r>
      <w:r w:rsidRPr="00AE54E4">
        <w:rPr>
          <w:rFonts w:cs="Arial"/>
          <w:b/>
        </w:rPr>
        <w:tab/>
      </w:r>
      <w:r w:rsidR="009912DD" w:rsidRPr="00AE54E4">
        <w:rPr>
          <w:rFonts w:cs="Arial"/>
          <w:b/>
        </w:rPr>
        <w:t>Scope of the Project</w:t>
      </w:r>
    </w:p>
    <w:p w14:paraId="243B3F3D" w14:textId="77777777" w:rsidR="009912DD" w:rsidRPr="00AE54E4" w:rsidRDefault="009912DD" w:rsidP="0071488E">
      <w:pPr>
        <w:ind w:left="720" w:hanging="720"/>
        <w:rPr>
          <w:rFonts w:cs="Arial"/>
        </w:rPr>
      </w:pPr>
    </w:p>
    <w:p w14:paraId="0FF5CCC6" w14:textId="62E3708F" w:rsidR="00C57FF0" w:rsidRPr="00AE54E4" w:rsidRDefault="009912DD" w:rsidP="0071488E">
      <w:pPr>
        <w:contextualSpacing/>
        <w:rPr>
          <w:rFonts w:cs="Arial"/>
          <w:lang w:val="en-US"/>
        </w:rPr>
      </w:pPr>
      <w:r w:rsidRPr="00AE54E4">
        <w:rPr>
          <w:rFonts w:cs="Arial"/>
          <w:lang w:val="en-US"/>
        </w:rPr>
        <w:t xml:space="preserve">Gosport Borough Council (‘the Council’) </w:t>
      </w:r>
      <w:r w:rsidR="005420AE" w:rsidRPr="00AE54E4">
        <w:rPr>
          <w:rFonts w:cs="Arial"/>
          <w:lang w:val="en-US"/>
        </w:rPr>
        <w:t>in partnership with the D</w:t>
      </w:r>
      <w:r w:rsidR="006B2243" w:rsidRPr="00AE54E4">
        <w:rPr>
          <w:rFonts w:cs="Arial"/>
          <w:lang w:val="en-US"/>
        </w:rPr>
        <w:t xml:space="preserve">efence Infrastructure Organisation (DIO) </w:t>
      </w:r>
      <w:r w:rsidRPr="00AE54E4">
        <w:rPr>
          <w:rFonts w:cs="Arial"/>
          <w:lang w:val="en-US"/>
        </w:rPr>
        <w:t xml:space="preserve">is inviting </w:t>
      </w:r>
      <w:r w:rsidR="00B305E3" w:rsidRPr="00AE54E4">
        <w:rPr>
          <w:rFonts w:cs="Arial"/>
          <w:lang w:val="en-US"/>
        </w:rPr>
        <w:t>quotes</w:t>
      </w:r>
      <w:r w:rsidRPr="00AE54E4">
        <w:rPr>
          <w:rFonts w:cs="Arial"/>
          <w:lang w:val="en-US"/>
        </w:rPr>
        <w:t xml:space="preserve"> from suitably qualified and experienced consultants to </w:t>
      </w:r>
      <w:r w:rsidR="00C57FF0" w:rsidRPr="00AE54E4">
        <w:rPr>
          <w:rFonts w:cs="Arial"/>
          <w:lang w:val="en-US"/>
        </w:rPr>
        <w:t xml:space="preserve">provide evidence and support the </w:t>
      </w:r>
      <w:r w:rsidR="006B2243" w:rsidRPr="00AE54E4">
        <w:rPr>
          <w:rFonts w:cs="Arial"/>
          <w:lang w:val="en-US"/>
        </w:rPr>
        <w:t xml:space="preserve">masterplanning process for the Blockhouse site and the emerging </w:t>
      </w:r>
      <w:r w:rsidR="00C57FF0" w:rsidRPr="00AE54E4">
        <w:rPr>
          <w:rFonts w:cs="Arial"/>
          <w:lang w:val="en-US"/>
        </w:rPr>
        <w:t xml:space="preserve">Gosport Borough Local Plan 2038. </w:t>
      </w:r>
    </w:p>
    <w:p w14:paraId="6714C782" w14:textId="33F8C7F0" w:rsidR="006B2243" w:rsidRPr="00AE54E4" w:rsidRDefault="006B2243" w:rsidP="0071488E">
      <w:pPr>
        <w:contextualSpacing/>
        <w:rPr>
          <w:rFonts w:cs="Arial"/>
          <w:b/>
          <w:lang w:val="en-US"/>
        </w:rPr>
      </w:pPr>
    </w:p>
    <w:p w14:paraId="7DF72C3F" w14:textId="6CB45CCD" w:rsidR="006B2243" w:rsidRPr="00AE54E4" w:rsidRDefault="006B2243" w:rsidP="0071488E">
      <w:pPr>
        <w:rPr>
          <w:rFonts w:cs="Arial"/>
        </w:rPr>
      </w:pPr>
      <w:r w:rsidRPr="00AE54E4">
        <w:rPr>
          <w:rFonts w:cs="Arial"/>
        </w:rPr>
        <w:t xml:space="preserve">The purpose of this exercise is, having regard to the prevailing market conditions and nature of the subject property, to establish the re-use/redevelopment proposition of the SETT. </w:t>
      </w:r>
    </w:p>
    <w:p w14:paraId="0E697902" w14:textId="77777777" w:rsidR="006B2243" w:rsidRPr="00AE54E4" w:rsidRDefault="006B2243" w:rsidP="0071488E">
      <w:pPr>
        <w:rPr>
          <w:rFonts w:cs="Arial"/>
        </w:rPr>
      </w:pPr>
    </w:p>
    <w:p w14:paraId="7F53E89C" w14:textId="77777777" w:rsidR="006B2243" w:rsidRPr="00AE54E4" w:rsidRDefault="006B2243" w:rsidP="0071488E">
      <w:pPr>
        <w:rPr>
          <w:rFonts w:cs="Arial"/>
        </w:rPr>
      </w:pPr>
      <w:r w:rsidRPr="00AE54E4">
        <w:rPr>
          <w:rFonts w:cs="Arial"/>
        </w:rPr>
        <w:t xml:space="preserve">The report will help inform DIO’s work on the disposal strategy for the site.  This includes helping to inform discussions between DIO and GBC about the potential future use of the site. </w:t>
      </w:r>
    </w:p>
    <w:p w14:paraId="510FB34A" w14:textId="77777777" w:rsidR="006B2243" w:rsidRPr="00AE54E4" w:rsidRDefault="006B2243" w:rsidP="0071488E">
      <w:pPr>
        <w:rPr>
          <w:rFonts w:cs="Arial"/>
        </w:rPr>
      </w:pPr>
    </w:p>
    <w:p w14:paraId="625DF938" w14:textId="77777777" w:rsidR="006B2243" w:rsidRPr="00AE54E4" w:rsidRDefault="006B2243" w:rsidP="0071488E">
      <w:pPr>
        <w:rPr>
          <w:rFonts w:cs="Arial"/>
          <w:b/>
          <w:bCs/>
        </w:rPr>
      </w:pPr>
      <w:r w:rsidRPr="00AE54E4">
        <w:rPr>
          <w:rFonts w:cs="Arial"/>
        </w:rPr>
        <w:t>To deliver these objectives, the successful consultancy will be asked to provide a report which addresses the points set out below.</w:t>
      </w:r>
    </w:p>
    <w:p w14:paraId="4A2EC34B" w14:textId="77777777" w:rsidR="006B2243" w:rsidRPr="00AE54E4" w:rsidRDefault="006B2243" w:rsidP="0071488E">
      <w:pPr>
        <w:rPr>
          <w:rFonts w:cs="Arial"/>
          <w:b/>
          <w:bCs/>
        </w:rPr>
      </w:pPr>
    </w:p>
    <w:p w14:paraId="7F06E7F0" w14:textId="77777777" w:rsidR="006B2243" w:rsidRPr="00AE54E4" w:rsidRDefault="006B2243" w:rsidP="0071488E">
      <w:pPr>
        <w:rPr>
          <w:rFonts w:eastAsia="Calibri" w:cs="Arial"/>
          <w:b/>
          <w:bCs/>
        </w:rPr>
      </w:pPr>
      <w:r w:rsidRPr="00AE54E4">
        <w:rPr>
          <w:rFonts w:eastAsia="Calibri" w:cs="Arial"/>
          <w:b/>
          <w:bCs/>
        </w:rPr>
        <w:t>Section A: Consideration of the building structure</w:t>
      </w:r>
    </w:p>
    <w:p w14:paraId="46FCDE45" w14:textId="77777777" w:rsidR="006B2243" w:rsidRPr="00AE54E4" w:rsidRDefault="006B2243" w:rsidP="0071488E">
      <w:pPr>
        <w:rPr>
          <w:rFonts w:eastAsia="Calibri" w:cs="Arial"/>
          <w:b/>
          <w:bCs/>
        </w:rPr>
      </w:pPr>
    </w:p>
    <w:p w14:paraId="6DE7CF1C" w14:textId="238D3215" w:rsidR="006B2243" w:rsidRPr="00AE54E4" w:rsidRDefault="006B2243" w:rsidP="006F2DC7">
      <w:pPr>
        <w:numPr>
          <w:ilvl w:val="0"/>
          <w:numId w:val="9"/>
        </w:numPr>
        <w:spacing w:line="276" w:lineRule="auto"/>
        <w:contextualSpacing/>
        <w:rPr>
          <w:rFonts w:eastAsia="Times New Roman" w:cs="Arial"/>
        </w:rPr>
      </w:pPr>
      <w:r w:rsidRPr="00AE54E4">
        <w:rPr>
          <w:rFonts w:eastAsia="Times New Roman" w:cs="Arial"/>
          <w:b/>
          <w:bCs/>
        </w:rPr>
        <w:t xml:space="preserve">Condition survey: </w:t>
      </w:r>
      <w:r w:rsidRPr="00AE54E4">
        <w:rPr>
          <w:rFonts w:eastAsia="Times New Roman" w:cs="Arial"/>
        </w:rPr>
        <w:t>To undertake a</w:t>
      </w:r>
      <w:r w:rsidR="005420AE" w:rsidRPr="00AE54E4">
        <w:rPr>
          <w:rFonts w:eastAsia="Times New Roman" w:cs="Arial"/>
        </w:rPr>
        <w:t xml:space="preserve"> structural</w:t>
      </w:r>
      <w:r w:rsidRPr="00AE54E4">
        <w:rPr>
          <w:rFonts w:eastAsia="Times New Roman" w:cs="Arial"/>
        </w:rPr>
        <w:t xml:space="preserve"> condition survey of the existing building.  This should address both internal and external condition. </w:t>
      </w:r>
    </w:p>
    <w:p w14:paraId="71016166" w14:textId="77777777" w:rsidR="006B2243" w:rsidRPr="00AE54E4" w:rsidRDefault="006B2243" w:rsidP="0071488E">
      <w:pPr>
        <w:spacing w:after="200" w:line="276" w:lineRule="auto"/>
        <w:ind w:left="720"/>
        <w:contextualSpacing/>
        <w:rPr>
          <w:rFonts w:eastAsia="Calibri" w:cs="Arial"/>
        </w:rPr>
      </w:pPr>
    </w:p>
    <w:p w14:paraId="5D028C8D" w14:textId="77777777" w:rsidR="006B2243" w:rsidRPr="00AE54E4" w:rsidRDefault="006B2243" w:rsidP="0071488E">
      <w:pPr>
        <w:spacing w:after="200" w:line="276" w:lineRule="auto"/>
        <w:ind w:left="720"/>
        <w:contextualSpacing/>
        <w:rPr>
          <w:rFonts w:eastAsia="Calibri" w:cs="Arial"/>
        </w:rPr>
      </w:pPr>
      <w:r w:rsidRPr="00AE54E4">
        <w:rPr>
          <w:rFonts w:eastAsia="Calibri" w:cs="Arial"/>
        </w:rPr>
        <w:t xml:space="preserve">This survey should also include an assessment of the water tank.  It is understood the water tank which forms the core of the SETT – and continues to be filled with water and maintained at a constant temperature – helps support the structural integrity of the existing building.   </w:t>
      </w:r>
    </w:p>
    <w:p w14:paraId="45D6D8DC" w14:textId="77777777" w:rsidR="006B2243" w:rsidRPr="00AE54E4" w:rsidRDefault="006B2243" w:rsidP="0071488E">
      <w:pPr>
        <w:spacing w:after="200" w:line="276" w:lineRule="auto"/>
        <w:ind w:left="720"/>
        <w:contextualSpacing/>
        <w:rPr>
          <w:rFonts w:eastAsia="Calibri" w:cs="Arial"/>
        </w:rPr>
      </w:pPr>
    </w:p>
    <w:p w14:paraId="5E4A4F61" w14:textId="77777777" w:rsidR="006B2243" w:rsidRPr="00AE54E4" w:rsidRDefault="006B2243" w:rsidP="0071488E">
      <w:pPr>
        <w:spacing w:after="200" w:line="276" w:lineRule="auto"/>
        <w:ind w:left="720"/>
        <w:contextualSpacing/>
        <w:rPr>
          <w:rFonts w:eastAsia="Calibri" w:cs="Arial"/>
          <w:b/>
          <w:bCs/>
        </w:rPr>
      </w:pPr>
      <w:r w:rsidRPr="00AE54E4">
        <w:rPr>
          <w:rFonts w:eastAsia="Calibri" w:cs="Arial"/>
        </w:rPr>
        <w:t>The selected consultant is to review and consider the position in relation to the significance of the water tank to ensuring the ongoing and future structural integrity of the building as this could have a significant bearing on its future use and response to this brief.</w:t>
      </w:r>
    </w:p>
    <w:p w14:paraId="63D425CF" w14:textId="77777777" w:rsidR="006B2243" w:rsidRPr="00AE54E4" w:rsidRDefault="006B2243" w:rsidP="0071488E">
      <w:pPr>
        <w:spacing w:after="200" w:line="276" w:lineRule="auto"/>
        <w:ind w:left="720"/>
        <w:contextualSpacing/>
        <w:rPr>
          <w:rFonts w:eastAsia="Calibri" w:cs="Arial"/>
          <w:b/>
          <w:bCs/>
        </w:rPr>
      </w:pPr>
    </w:p>
    <w:p w14:paraId="5CBB73C7" w14:textId="77777777" w:rsidR="006B2243" w:rsidRPr="00AE54E4" w:rsidRDefault="006B2243" w:rsidP="006F2DC7">
      <w:pPr>
        <w:numPr>
          <w:ilvl w:val="0"/>
          <w:numId w:val="9"/>
        </w:numPr>
        <w:spacing w:after="200" w:line="276" w:lineRule="auto"/>
        <w:contextualSpacing/>
        <w:rPr>
          <w:rFonts w:eastAsia="Calibri" w:cs="Arial"/>
        </w:rPr>
      </w:pPr>
      <w:r w:rsidRPr="00AE54E4">
        <w:rPr>
          <w:rFonts w:cs="Arial"/>
          <w:b/>
        </w:rPr>
        <w:t>General building structure requirements:</w:t>
      </w:r>
      <w:r w:rsidRPr="00AE54E4">
        <w:rPr>
          <w:rFonts w:eastAsia="Times New Roman" w:cs="Arial"/>
          <w:b/>
          <w:bCs/>
        </w:rPr>
        <w:t xml:space="preserve"> </w:t>
      </w:r>
      <w:r w:rsidRPr="00AE54E4">
        <w:rPr>
          <w:rFonts w:eastAsia="Calibri" w:cs="Arial"/>
        </w:rPr>
        <w:t>Subject to the conclusions of Task A(1) above, the appointed consultant is to advise on each of the following assuming the SETT is retained as:</w:t>
      </w:r>
    </w:p>
    <w:p w14:paraId="1E55839E" w14:textId="77777777" w:rsidR="006B2243" w:rsidRPr="00AE54E4" w:rsidRDefault="006B2243" w:rsidP="006F2DC7">
      <w:pPr>
        <w:pStyle w:val="ListParagraph"/>
        <w:numPr>
          <w:ilvl w:val="0"/>
          <w:numId w:val="14"/>
        </w:numPr>
        <w:spacing w:after="200" w:line="276" w:lineRule="auto"/>
        <w:ind w:hanging="229"/>
        <w:rPr>
          <w:rFonts w:eastAsia="Calibri" w:cs="Arial"/>
        </w:rPr>
      </w:pPr>
      <w:r w:rsidRPr="00AE54E4">
        <w:rPr>
          <w:rFonts w:eastAsia="Calibri" w:cs="Arial"/>
        </w:rPr>
        <w:t xml:space="preserve">a usable asset (i.e. in terms of the water tank and therefore retains an option for diving) and; </w:t>
      </w:r>
    </w:p>
    <w:p w14:paraId="51A71492" w14:textId="77777777" w:rsidR="006B2243" w:rsidRPr="00AE54E4" w:rsidRDefault="006B2243" w:rsidP="006F2DC7">
      <w:pPr>
        <w:pStyle w:val="ListParagraph"/>
        <w:numPr>
          <w:ilvl w:val="0"/>
          <w:numId w:val="14"/>
        </w:numPr>
        <w:spacing w:after="200" w:line="276" w:lineRule="auto"/>
        <w:ind w:hanging="229"/>
        <w:rPr>
          <w:rFonts w:eastAsia="Calibri" w:cs="Arial"/>
        </w:rPr>
      </w:pPr>
      <w:r w:rsidRPr="00AE54E4">
        <w:rPr>
          <w:rFonts w:eastAsia="Calibri" w:cs="Arial"/>
        </w:rPr>
        <w:t>as an unusable asset (i.e. in terms of the water tank and therefore assumes this space is used in some other way).</w:t>
      </w:r>
    </w:p>
    <w:p w14:paraId="11CD0C85" w14:textId="77777777" w:rsidR="006B2243" w:rsidRPr="00AE54E4" w:rsidRDefault="006B2243" w:rsidP="0071488E">
      <w:pPr>
        <w:spacing w:after="200" w:line="276" w:lineRule="auto"/>
        <w:ind w:left="720"/>
        <w:contextualSpacing/>
        <w:rPr>
          <w:rFonts w:eastAsia="Calibri" w:cs="Arial"/>
        </w:rPr>
      </w:pPr>
      <w:r w:rsidRPr="00AE54E4">
        <w:rPr>
          <w:rFonts w:eastAsia="Calibri" w:cs="Arial"/>
        </w:rPr>
        <w:t xml:space="preserve">  </w:t>
      </w:r>
    </w:p>
    <w:p w14:paraId="0265F7E0" w14:textId="7BB4A27C" w:rsidR="006B2243" w:rsidRPr="00AE54E4" w:rsidRDefault="006B2243" w:rsidP="006F2DC7">
      <w:pPr>
        <w:numPr>
          <w:ilvl w:val="0"/>
          <w:numId w:val="10"/>
        </w:numPr>
        <w:textAlignment w:val="baseline"/>
        <w:rPr>
          <w:rFonts w:eastAsia="Calibri" w:cs="Arial"/>
        </w:rPr>
      </w:pPr>
      <w:r w:rsidRPr="00AE54E4">
        <w:rPr>
          <w:rFonts w:eastAsia="Calibri" w:cs="Arial"/>
        </w:rPr>
        <w:lastRenderedPageBreak/>
        <w:t>Statutory and regulator</w:t>
      </w:r>
      <w:r w:rsidR="005420AE" w:rsidRPr="00AE54E4">
        <w:rPr>
          <w:rFonts w:eastAsia="Calibri" w:cs="Arial"/>
        </w:rPr>
        <w:t>y requirements associated with</w:t>
      </w:r>
      <w:r w:rsidRPr="00AE54E4">
        <w:rPr>
          <w:rFonts w:eastAsia="Calibri" w:cs="Arial"/>
        </w:rPr>
        <w:t xml:space="preserve"> bringing the SETT back into public use. This should refer to environmental and sustainability standards and guidance, as well as those relating to Building Regulations, Health &amp; Safety, Equality Act etc.  </w:t>
      </w:r>
      <w:r w:rsidR="005420AE" w:rsidRPr="00AE54E4">
        <w:rPr>
          <w:rFonts w:eastAsia="Calibri" w:cs="Arial"/>
        </w:rPr>
        <w:t>and the potential for contamination</w:t>
      </w:r>
      <w:r w:rsidR="0040751D" w:rsidRPr="00AE54E4">
        <w:rPr>
          <w:rFonts w:eastAsia="Calibri" w:cs="Arial"/>
        </w:rPr>
        <w:t>.</w:t>
      </w:r>
      <w:r w:rsidRPr="00AE54E4">
        <w:rPr>
          <w:rFonts w:eastAsia="Calibri" w:cs="Arial"/>
        </w:rPr>
        <w:t xml:space="preserve"> </w:t>
      </w:r>
    </w:p>
    <w:p w14:paraId="1CE310A3" w14:textId="77777777" w:rsidR="006B2243" w:rsidRPr="00AE54E4" w:rsidRDefault="006B2243" w:rsidP="0071488E">
      <w:pPr>
        <w:ind w:left="1440"/>
        <w:textAlignment w:val="baseline"/>
        <w:rPr>
          <w:rFonts w:eastAsia="Calibri" w:cs="Arial"/>
        </w:rPr>
      </w:pPr>
    </w:p>
    <w:p w14:paraId="4E0202E6" w14:textId="375BF2C3" w:rsidR="006B2243" w:rsidRPr="00AE54E4" w:rsidRDefault="006B2243" w:rsidP="0071488E">
      <w:pPr>
        <w:ind w:left="1440"/>
        <w:textAlignment w:val="baseline"/>
        <w:rPr>
          <w:rFonts w:eastAsia="Calibri" w:cs="Arial"/>
        </w:rPr>
      </w:pPr>
      <w:r w:rsidRPr="00AE54E4">
        <w:rPr>
          <w:rFonts w:eastAsia="Calibri" w:cs="Arial"/>
        </w:rPr>
        <w:t xml:space="preserve">This section should outline the planning requirements associated with its Listed status. This includes the Planning (Listed Buildings and Conservation Areas) Act 1990, the Local Plan and the Haslar Peninsula Conservation Area Appraisal. </w:t>
      </w:r>
    </w:p>
    <w:p w14:paraId="3E361F8D" w14:textId="77777777" w:rsidR="006B2243" w:rsidRPr="00AE54E4" w:rsidRDefault="006B2243" w:rsidP="0071488E">
      <w:pPr>
        <w:ind w:left="1440"/>
        <w:textAlignment w:val="baseline"/>
        <w:rPr>
          <w:rFonts w:eastAsia="Calibri" w:cs="Arial"/>
        </w:rPr>
      </w:pPr>
      <w:r w:rsidRPr="00AE54E4">
        <w:rPr>
          <w:rFonts w:eastAsia="Calibri" w:cs="Arial"/>
        </w:rPr>
        <w:t> </w:t>
      </w:r>
    </w:p>
    <w:p w14:paraId="3D653093" w14:textId="77777777" w:rsidR="006B2243" w:rsidRPr="00AE54E4" w:rsidRDefault="006B2243" w:rsidP="006F2DC7">
      <w:pPr>
        <w:numPr>
          <w:ilvl w:val="0"/>
          <w:numId w:val="10"/>
        </w:numPr>
        <w:textAlignment w:val="baseline"/>
        <w:rPr>
          <w:rFonts w:eastAsia="Calibri" w:cs="Arial"/>
        </w:rPr>
      </w:pPr>
      <w:r w:rsidRPr="00AE54E4">
        <w:rPr>
          <w:rFonts w:eastAsia="Calibri" w:cs="Arial"/>
        </w:rPr>
        <w:t xml:space="preserve">Feasibility of bringing the SETT back into public use.  This should include scope of works required to meet the statutory and regulatory requirements outlined under a) above.  </w:t>
      </w:r>
    </w:p>
    <w:p w14:paraId="6E0554C3" w14:textId="77777777" w:rsidR="006B2243" w:rsidRPr="00AE54E4" w:rsidRDefault="006B2243" w:rsidP="0071488E">
      <w:pPr>
        <w:textAlignment w:val="baseline"/>
        <w:rPr>
          <w:rFonts w:eastAsia="Calibri" w:cs="Arial"/>
        </w:rPr>
      </w:pPr>
    </w:p>
    <w:p w14:paraId="5D91A31E" w14:textId="77777777" w:rsidR="006B2243" w:rsidRPr="00AE54E4" w:rsidRDefault="006B2243" w:rsidP="006F2DC7">
      <w:pPr>
        <w:numPr>
          <w:ilvl w:val="0"/>
          <w:numId w:val="10"/>
        </w:numPr>
        <w:textAlignment w:val="baseline"/>
        <w:rPr>
          <w:rFonts w:eastAsia="Calibri" w:cs="Arial"/>
        </w:rPr>
      </w:pPr>
      <w:r w:rsidRPr="00AE54E4">
        <w:rPr>
          <w:rFonts w:eastAsia="Calibri" w:cs="Arial"/>
        </w:rPr>
        <w:t xml:space="preserve">If the tank were required to be kept weighted down, could other methods be used to do this other than water?  For example, sand, gravel and/or other weights. </w:t>
      </w:r>
    </w:p>
    <w:p w14:paraId="372B8D7E" w14:textId="77777777" w:rsidR="006B2243" w:rsidRPr="00AE54E4" w:rsidRDefault="006B2243" w:rsidP="0071488E">
      <w:pPr>
        <w:ind w:left="1440"/>
        <w:textAlignment w:val="baseline"/>
        <w:rPr>
          <w:rFonts w:eastAsia="Calibri" w:cs="Arial"/>
        </w:rPr>
      </w:pPr>
    </w:p>
    <w:p w14:paraId="1CDFDB37" w14:textId="77777777" w:rsidR="006B2243" w:rsidRPr="00AE54E4" w:rsidRDefault="006B2243" w:rsidP="006F2DC7">
      <w:pPr>
        <w:numPr>
          <w:ilvl w:val="0"/>
          <w:numId w:val="10"/>
        </w:numPr>
        <w:textAlignment w:val="baseline"/>
        <w:rPr>
          <w:rFonts w:eastAsia="Calibri" w:cs="Arial"/>
        </w:rPr>
      </w:pPr>
      <w:r w:rsidRPr="00AE54E4">
        <w:rPr>
          <w:rFonts w:eastAsia="Calibri" w:cs="Arial"/>
        </w:rPr>
        <w:t>An indicative budget associated with upfront capital costs required to bring the SETT back into public use.  </w:t>
      </w:r>
    </w:p>
    <w:p w14:paraId="52E9888C" w14:textId="77777777" w:rsidR="006B2243" w:rsidRPr="00AE54E4" w:rsidRDefault="006B2243" w:rsidP="0071488E">
      <w:pPr>
        <w:rPr>
          <w:rFonts w:eastAsia="Calibri" w:cs="Arial"/>
        </w:rPr>
      </w:pPr>
    </w:p>
    <w:p w14:paraId="64284C35" w14:textId="77777777" w:rsidR="006B2243" w:rsidRPr="00AE54E4" w:rsidRDefault="006B2243" w:rsidP="006F2DC7">
      <w:pPr>
        <w:numPr>
          <w:ilvl w:val="0"/>
          <w:numId w:val="10"/>
        </w:numPr>
        <w:textAlignment w:val="baseline"/>
        <w:rPr>
          <w:rFonts w:eastAsia="Calibri" w:cs="Arial"/>
        </w:rPr>
      </w:pPr>
      <w:r w:rsidRPr="00AE54E4">
        <w:rPr>
          <w:rFonts w:eastAsia="Calibri" w:cs="Arial"/>
        </w:rPr>
        <w:t>Likely annual management and maintenance costs associated with:</w:t>
      </w:r>
    </w:p>
    <w:p w14:paraId="790075ED" w14:textId="77777777" w:rsidR="006B2243" w:rsidRPr="00AE54E4" w:rsidRDefault="006B2243" w:rsidP="006F2DC7">
      <w:pPr>
        <w:numPr>
          <w:ilvl w:val="2"/>
          <w:numId w:val="10"/>
        </w:numPr>
        <w:textAlignment w:val="baseline"/>
        <w:rPr>
          <w:rFonts w:eastAsia="Calibri" w:cs="Arial"/>
        </w:rPr>
      </w:pPr>
      <w:r w:rsidRPr="00AE54E4">
        <w:rPr>
          <w:rFonts w:eastAsia="Calibri" w:cs="Arial"/>
        </w:rPr>
        <w:t>ensuring the building structure is maintained; and</w:t>
      </w:r>
    </w:p>
    <w:p w14:paraId="21B8FBC9" w14:textId="77777777" w:rsidR="006B2243" w:rsidRPr="00AE54E4" w:rsidRDefault="006B2243" w:rsidP="006F2DC7">
      <w:pPr>
        <w:numPr>
          <w:ilvl w:val="2"/>
          <w:numId w:val="10"/>
        </w:numPr>
        <w:textAlignment w:val="baseline"/>
        <w:rPr>
          <w:rFonts w:eastAsia="Calibri" w:cs="Arial"/>
        </w:rPr>
      </w:pPr>
      <w:r w:rsidRPr="00AE54E4">
        <w:rPr>
          <w:rFonts w:eastAsia="Calibri" w:cs="Arial"/>
        </w:rPr>
        <w:t xml:space="preserve">basic day to day running costs associated with the building itself. For example, if the diving tank is retained; and building insurance. </w:t>
      </w:r>
    </w:p>
    <w:p w14:paraId="50A01D11" w14:textId="77777777" w:rsidR="006B2243" w:rsidRPr="00AE54E4" w:rsidRDefault="006B2243" w:rsidP="0071488E">
      <w:pPr>
        <w:textAlignment w:val="baseline"/>
        <w:rPr>
          <w:rFonts w:eastAsia="Calibri" w:cs="Arial"/>
          <w:b/>
          <w:bCs/>
          <w:lang w:eastAsia="en-GB"/>
        </w:rPr>
      </w:pPr>
    </w:p>
    <w:p w14:paraId="29880738" w14:textId="77777777" w:rsidR="006B2243" w:rsidRPr="00AE54E4" w:rsidRDefault="006B2243" w:rsidP="0071488E">
      <w:pPr>
        <w:textAlignment w:val="baseline"/>
        <w:rPr>
          <w:rFonts w:eastAsia="Calibri" w:cs="Arial"/>
          <w:b/>
          <w:bCs/>
          <w:lang w:eastAsia="en-GB"/>
        </w:rPr>
      </w:pPr>
    </w:p>
    <w:p w14:paraId="6289B45A" w14:textId="77777777" w:rsidR="006B2243" w:rsidRPr="00AE54E4" w:rsidRDefault="006B2243" w:rsidP="0071488E">
      <w:pPr>
        <w:rPr>
          <w:rFonts w:eastAsia="Calibri" w:cs="Arial"/>
          <w:b/>
          <w:bCs/>
        </w:rPr>
      </w:pPr>
    </w:p>
    <w:p w14:paraId="57D8C5B3" w14:textId="312D4279" w:rsidR="006B2243" w:rsidRPr="00AE54E4" w:rsidRDefault="006B2243" w:rsidP="0071488E">
      <w:pPr>
        <w:rPr>
          <w:rFonts w:eastAsia="Calibri" w:cs="Arial"/>
          <w:b/>
          <w:bCs/>
        </w:rPr>
      </w:pPr>
      <w:r w:rsidRPr="00AE54E4">
        <w:rPr>
          <w:rFonts w:eastAsia="Calibri" w:cs="Arial"/>
          <w:b/>
          <w:bCs/>
        </w:rPr>
        <w:t xml:space="preserve">Section B: </w:t>
      </w:r>
      <w:r w:rsidR="00A92FC1" w:rsidRPr="00AE54E4">
        <w:rPr>
          <w:rFonts w:eastAsia="Calibri" w:cs="Arial"/>
          <w:b/>
          <w:bCs/>
        </w:rPr>
        <w:t xml:space="preserve">Viable </w:t>
      </w:r>
      <w:r w:rsidRPr="00AE54E4">
        <w:rPr>
          <w:rFonts w:eastAsia="Calibri" w:cs="Arial"/>
          <w:b/>
          <w:bCs/>
        </w:rPr>
        <w:t>Future Use/Commercial Questions</w:t>
      </w:r>
    </w:p>
    <w:p w14:paraId="3225382C" w14:textId="77777777" w:rsidR="006B2243" w:rsidRPr="00AE54E4" w:rsidRDefault="006B2243" w:rsidP="0071488E">
      <w:pPr>
        <w:textAlignment w:val="baseline"/>
        <w:rPr>
          <w:rFonts w:eastAsia="Calibri" w:cs="Arial"/>
          <w:lang w:eastAsia="en-GB"/>
        </w:rPr>
      </w:pPr>
      <w:r w:rsidRPr="00AE54E4">
        <w:rPr>
          <w:rFonts w:eastAsia="Calibri" w:cs="Arial"/>
          <w:lang w:eastAsia="en-GB"/>
        </w:rPr>
        <w:t>Subject to the conclusions from Section A, the selected consultant is to consider: </w:t>
      </w:r>
    </w:p>
    <w:p w14:paraId="58E8C926" w14:textId="77777777" w:rsidR="006B2243" w:rsidRPr="00AE54E4" w:rsidRDefault="006B2243" w:rsidP="0071488E">
      <w:pPr>
        <w:textAlignment w:val="baseline"/>
        <w:rPr>
          <w:rFonts w:eastAsia="Calibri" w:cs="Arial"/>
          <w:b/>
          <w:bCs/>
          <w:lang w:eastAsia="en-GB"/>
        </w:rPr>
      </w:pPr>
    </w:p>
    <w:p w14:paraId="7579967C" w14:textId="77777777" w:rsidR="006B2243" w:rsidRPr="00AE54E4" w:rsidRDefault="006B2243" w:rsidP="006F2DC7">
      <w:pPr>
        <w:numPr>
          <w:ilvl w:val="0"/>
          <w:numId w:val="12"/>
        </w:numPr>
        <w:spacing w:after="200" w:line="276" w:lineRule="auto"/>
        <w:contextualSpacing/>
        <w:rPr>
          <w:rFonts w:eastAsia="Times New Roman" w:cs="Arial"/>
        </w:rPr>
      </w:pPr>
      <w:r w:rsidRPr="00AE54E4">
        <w:rPr>
          <w:rFonts w:eastAsia="Times New Roman" w:cs="Arial"/>
          <w:b/>
          <w:bCs/>
        </w:rPr>
        <w:t xml:space="preserve">Potential future uses of the SETT: </w:t>
      </w:r>
    </w:p>
    <w:p w14:paraId="548F1186" w14:textId="77777777" w:rsidR="006B2243" w:rsidRPr="00AE54E4" w:rsidRDefault="006B2243" w:rsidP="0071488E">
      <w:pPr>
        <w:spacing w:after="200" w:line="276" w:lineRule="auto"/>
        <w:ind w:left="720"/>
        <w:contextualSpacing/>
        <w:rPr>
          <w:rFonts w:eastAsia="Calibri" w:cs="Arial"/>
        </w:rPr>
      </w:pPr>
    </w:p>
    <w:p w14:paraId="0FA032E6" w14:textId="77777777" w:rsidR="006B2243" w:rsidRPr="00AE54E4" w:rsidRDefault="006B2243" w:rsidP="006F2DC7">
      <w:pPr>
        <w:numPr>
          <w:ilvl w:val="1"/>
          <w:numId w:val="12"/>
        </w:numPr>
        <w:spacing w:after="200" w:line="276" w:lineRule="auto"/>
        <w:contextualSpacing/>
        <w:rPr>
          <w:rFonts w:eastAsia="Times New Roman" w:cs="Arial"/>
        </w:rPr>
      </w:pPr>
      <w:r w:rsidRPr="00AE54E4">
        <w:rPr>
          <w:rFonts w:eastAsia="Times New Roman" w:cs="Arial"/>
        </w:rPr>
        <w:t xml:space="preserve">Identify the requirements, opportunities and constraints associated with potential future uses for the SETT. This should consider (but not be limited to) the following: </w:t>
      </w:r>
    </w:p>
    <w:p w14:paraId="0FCD66A4"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Commercial diving training – which could include petro-chemical and wind turbine sectors.</w:t>
      </w:r>
    </w:p>
    <w:p w14:paraId="55E7672F"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 xml:space="preserve">Leisure diving. </w:t>
      </w:r>
    </w:p>
    <w:p w14:paraId="296E6C76"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 xml:space="preserve">Heritage/Art – which could include considering National Museum of the Royal Navy - Submarine Museum, Diving Museum, Hampshire Cultural Trust, National Trust etc. </w:t>
      </w:r>
    </w:p>
    <w:p w14:paraId="0C43C469"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 xml:space="preserve">Art projects – which could include inclusion of events and/or animation space. </w:t>
      </w:r>
    </w:p>
    <w:p w14:paraId="1ED2A5F2"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Food and Beverage – which could include café or bar area.</w:t>
      </w:r>
    </w:p>
    <w:p w14:paraId="1234F86D"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lastRenderedPageBreak/>
        <w:t>Viewing platform</w:t>
      </w:r>
    </w:p>
    <w:p w14:paraId="36695BFE" w14:textId="52E3E9A3"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 xml:space="preserve">Alternative leisure uses, </w:t>
      </w:r>
      <w:r w:rsidR="005420AE" w:rsidRPr="00AE54E4">
        <w:rPr>
          <w:rFonts w:eastAsia="Calibri" w:cs="Arial"/>
        </w:rPr>
        <w:t>for example but not exclusively</w:t>
      </w:r>
      <w:r w:rsidRPr="00AE54E4">
        <w:rPr>
          <w:rFonts w:eastAsia="Calibri" w:cs="Arial"/>
        </w:rPr>
        <w:t>. climbing wall (internal / external), puzzle room / ‘escape room’, indoor skydiving</w:t>
      </w:r>
      <w:r w:rsidR="005420AE" w:rsidRPr="00AE54E4">
        <w:rPr>
          <w:rFonts w:eastAsia="Calibri" w:cs="Arial"/>
        </w:rPr>
        <w:t>,</w:t>
      </w:r>
      <w:r w:rsidRPr="00AE54E4">
        <w:rPr>
          <w:rFonts w:eastAsia="Calibri" w:cs="Arial"/>
        </w:rPr>
        <w:t xml:space="preserve"> etc</w:t>
      </w:r>
    </w:p>
    <w:p w14:paraId="02FAF0F3" w14:textId="10163CCE"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Other potential commercial storage use?  For example, could the SETT be re-purposed for foodstuffs (e.g. rice / grain), liq</w:t>
      </w:r>
      <w:r w:rsidR="00554222" w:rsidRPr="00AE54E4">
        <w:rPr>
          <w:rFonts w:eastAsia="Calibri" w:cs="Arial"/>
        </w:rPr>
        <w:t xml:space="preserve">uids (e.g. oil / petrol) </w:t>
      </w:r>
      <w:r w:rsidRPr="00AE54E4">
        <w:rPr>
          <w:rFonts w:eastAsia="Calibri" w:cs="Arial"/>
        </w:rPr>
        <w:t xml:space="preserve">or even sand/gravel etc.  </w:t>
      </w:r>
    </w:p>
    <w:p w14:paraId="6FFA4D4D"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 xml:space="preserve">Any other potential uses. </w:t>
      </w:r>
    </w:p>
    <w:p w14:paraId="70747790" w14:textId="77777777" w:rsidR="006B2243" w:rsidRPr="00AE54E4" w:rsidRDefault="006B2243" w:rsidP="0071488E">
      <w:pPr>
        <w:spacing w:after="200" w:line="276" w:lineRule="auto"/>
        <w:ind w:left="2160"/>
        <w:contextualSpacing/>
        <w:rPr>
          <w:rFonts w:eastAsia="Calibri" w:cs="Arial"/>
        </w:rPr>
      </w:pPr>
    </w:p>
    <w:p w14:paraId="6590C43E" w14:textId="18FDD4C4" w:rsidR="00A71CBE" w:rsidRPr="00AE54E4" w:rsidRDefault="00A71CBE" w:rsidP="006F2DC7">
      <w:pPr>
        <w:numPr>
          <w:ilvl w:val="1"/>
          <w:numId w:val="12"/>
        </w:numPr>
        <w:spacing w:after="200" w:line="276" w:lineRule="auto"/>
        <w:contextualSpacing/>
        <w:rPr>
          <w:rFonts w:eastAsia="Times New Roman" w:cs="Arial"/>
        </w:rPr>
      </w:pPr>
      <w:r w:rsidRPr="00AE54E4">
        <w:rPr>
          <w:rFonts w:eastAsia="Times New Roman" w:cs="Arial"/>
        </w:rPr>
        <w:t>The consideration of the above should involve</w:t>
      </w:r>
      <w:r w:rsidR="00554222" w:rsidRPr="00AE54E4">
        <w:rPr>
          <w:rFonts w:eastAsia="Times New Roman" w:cs="Arial"/>
        </w:rPr>
        <w:t xml:space="preserve"> dialogue with</w:t>
      </w:r>
      <w:r w:rsidRPr="00AE54E4">
        <w:rPr>
          <w:rFonts w:eastAsia="Times New Roman" w:cs="Arial"/>
        </w:rPr>
        <w:t xml:space="preserve"> a range of national and local stakeholders that can help inf</w:t>
      </w:r>
      <w:r w:rsidR="00554222" w:rsidRPr="00AE54E4">
        <w:rPr>
          <w:rFonts w:eastAsia="Times New Roman" w:cs="Arial"/>
        </w:rPr>
        <w:t>o</w:t>
      </w:r>
      <w:r w:rsidRPr="00AE54E4">
        <w:rPr>
          <w:rFonts w:eastAsia="Times New Roman" w:cs="Arial"/>
        </w:rPr>
        <w:t xml:space="preserve">rm the </w:t>
      </w:r>
      <w:r w:rsidR="00554222" w:rsidRPr="00AE54E4">
        <w:rPr>
          <w:rFonts w:eastAsia="Times New Roman" w:cs="Arial"/>
        </w:rPr>
        <w:t>above consideration. This should also include the views of the Council’s Gosport Heritage Action Zone</w:t>
      </w:r>
      <w:r w:rsidR="00554222" w:rsidRPr="00AE54E4">
        <w:rPr>
          <w:rStyle w:val="FootnoteReference"/>
          <w:rFonts w:eastAsia="Times New Roman" w:cs="Arial"/>
        </w:rPr>
        <w:footnoteReference w:id="7"/>
      </w:r>
      <w:r w:rsidR="00554222" w:rsidRPr="00AE54E4">
        <w:rPr>
          <w:rFonts w:eastAsia="Times New Roman" w:cs="Arial"/>
        </w:rPr>
        <w:t xml:space="preserve"> partners. Local stakeholders can be agreed at the inception meeting.</w:t>
      </w:r>
    </w:p>
    <w:p w14:paraId="38D6285B" w14:textId="77777777" w:rsidR="00554222" w:rsidRPr="00AE54E4" w:rsidRDefault="00554222" w:rsidP="00554222">
      <w:pPr>
        <w:spacing w:after="200" w:line="276" w:lineRule="auto"/>
        <w:ind w:left="1440"/>
        <w:contextualSpacing/>
        <w:rPr>
          <w:rFonts w:eastAsia="Times New Roman" w:cs="Arial"/>
        </w:rPr>
      </w:pPr>
    </w:p>
    <w:p w14:paraId="3F1BB225" w14:textId="507D9724" w:rsidR="006B2243" w:rsidRPr="00AE54E4" w:rsidRDefault="006B2243" w:rsidP="006F2DC7">
      <w:pPr>
        <w:numPr>
          <w:ilvl w:val="1"/>
          <w:numId w:val="12"/>
        </w:numPr>
        <w:spacing w:after="200" w:line="276" w:lineRule="auto"/>
        <w:contextualSpacing/>
        <w:rPr>
          <w:rFonts w:eastAsia="Times New Roman" w:cs="Arial"/>
        </w:rPr>
      </w:pPr>
      <w:r w:rsidRPr="00AE54E4">
        <w:rPr>
          <w:rFonts w:eastAsia="Times New Roman" w:cs="Arial"/>
        </w:rPr>
        <w:t>Identify scenarios which could offer a future viable use for the building.  This could comprise (but not be limited to) a single use for single user or a mix of uses managed by a Trust e.g. leisure and commercial diving, heritage/interpretation/vie</w:t>
      </w:r>
      <w:r w:rsidR="00554222" w:rsidRPr="00AE54E4">
        <w:rPr>
          <w:rFonts w:eastAsia="Times New Roman" w:cs="Arial"/>
        </w:rPr>
        <w:t>wing platform/F&amp;B opportunities.</w:t>
      </w:r>
      <w:r w:rsidRPr="00AE54E4">
        <w:rPr>
          <w:rFonts w:eastAsia="Times New Roman" w:cs="Arial"/>
        </w:rPr>
        <w:t xml:space="preserve">  </w:t>
      </w:r>
    </w:p>
    <w:p w14:paraId="248DFF66" w14:textId="77777777" w:rsidR="006B2243" w:rsidRPr="00AE54E4" w:rsidRDefault="006B2243" w:rsidP="0071488E">
      <w:pPr>
        <w:spacing w:after="200" w:line="276" w:lineRule="auto"/>
        <w:ind w:left="1440"/>
        <w:contextualSpacing/>
        <w:rPr>
          <w:rFonts w:eastAsia="Calibri" w:cs="Arial"/>
        </w:rPr>
      </w:pPr>
    </w:p>
    <w:p w14:paraId="768BAA3E" w14:textId="62A7DAA7" w:rsidR="006B2243" w:rsidRPr="00AE54E4" w:rsidRDefault="006B2243" w:rsidP="006F2DC7">
      <w:pPr>
        <w:numPr>
          <w:ilvl w:val="0"/>
          <w:numId w:val="12"/>
        </w:numPr>
        <w:spacing w:after="200" w:line="276" w:lineRule="auto"/>
        <w:contextualSpacing/>
        <w:rPr>
          <w:rFonts w:eastAsia="Times New Roman" w:cs="Arial"/>
        </w:rPr>
      </w:pPr>
      <w:r w:rsidRPr="00AE54E4">
        <w:rPr>
          <w:rFonts w:eastAsia="Times New Roman" w:cs="Arial"/>
          <w:b/>
          <w:bCs/>
        </w:rPr>
        <w:t>Additional land requirement:</w:t>
      </w:r>
      <w:r w:rsidRPr="00AE54E4">
        <w:rPr>
          <w:rFonts w:eastAsia="Times New Roman" w:cs="Arial"/>
        </w:rPr>
        <w:t xml:space="preserve"> For each of</w:t>
      </w:r>
      <w:r w:rsidR="00765169" w:rsidRPr="00AE54E4">
        <w:rPr>
          <w:rFonts w:eastAsia="Times New Roman" w:cs="Arial"/>
        </w:rPr>
        <w:t xml:space="preserve"> the </w:t>
      </w:r>
      <w:r w:rsidR="00A92FC1" w:rsidRPr="00AE54E4">
        <w:rPr>
          <w:rFonts w:eastAsia="Times New Roman" w:cs="Arial"/>
        </w:rPr>
        <w:t xml:space="preserve">viable </w:t>
      </w:r>
      <w:r w:rsidR="00765169" w:rsidRPr="00AE54E4">
        <w:rPr>
          <w:rFonts w:eastAsia="Times New Roman" w:cs="Arial"/>
        </w:rPr>
        <w:t xml:space="preserve">scenarios outlined in B(a) </w:t>
      </w:r>
      <w:r w:rsidRPr="00AE54E4">
        <w:rPr>
          <w:rFonts w:eastAsia="Times New Roman" w:cs="Arial"/>
        </w:rPr>
        <w:t>above, what is the minimum/maximum footprint of additional land adjacent to the site required to enable the SETT to be used successfully e.g. parking; associated/ancillary uses</w:t>
      </w:r>
      <w:r w:rsidR="005420AE" w:rsidRPr="00AE54E4">
        <w:rPr>
          <w:rFonts w:eastAsia="Times New Roman" w:cs="Arial"/>
        </w:rPr>
        <w:t xml:space="preserve"> and access routes</w:t>
      </w:r>
      <w:r w:rsidRPr="00AE54E4">
        <w:rPr>
          <w:rFonts w:eastAsia="Times New Roman" w:cs="Arial"/>
        </w:rPr>
        <w:t xml:space="preserve">. </w:t>
      </w:r>
    </w:p>
    <w:p w14:paraId="670F0395" w14:textId="77777777" w:rsidR="006B2243" w:rsidRPr="00AE54E4" w:rsidRDefault="006B2243" w:rsidP="0071488E">
      <w:pPr>
        <w:spacing w:after="200" w:line="276" w:lineRule="auto"/>
        <w:ind w:left="720"/>
        <w:contextualSpacing/>
        <w:rPr>
          <w:rFonts w:eastAsia="Calibri" w:cs="Arial"/>
        </w:rPr>
      </w:pPr>
    </w:p>
    <w:p w14:paraId="46095D18" w14:textId="0A822614" w:rsidR="006B2243" w:rsidRPr="00AE54E4" w:rsidRDefault="006B2243" w:rsidP="006F2DC7">
      <w:pPr>
        <w:numPr>
          <w:ilvl w:val="0"/>
          <w:numId w:val="12"/>
        </w:numPr>
        <w:spacing w:after="200" w:line="276" w:lineRule="auto"/>
        <w:contextualSpacing/>
        <w:rPr>
          <w:rFonts w:eastAsia="Times New Roman" w:cs="Arial"/>
        </w:rPr>
      </w:pPr>
      <w:r w:rsidRPr="00AE54E4">
        <w:rPr>
          <w:rFonts w:eastAsia="Times New Roman" w:cs="Arial"/>
          <w:b/>
          <w:bCs/>
        </w:rPr>
        <w:t>Potential future management structure for the SETT:</w:t>
      </w:r>
      <w:r w:rsidRPr="00AE54E4">
        <w:rPr>
          <w:rFonts w:eastAsia="Times New Roman" w:cs="Arial"/>
        </w:rPr>
        <w:t xml:space="preserve"> For each of the </w:t>
      </w:r>
      <w:r w:rsidR="00A92FC1" w:rsidRPr="00AE54E4">
        <w:rPr>
          <w:rFonts w:eastAsia="Times New Roman" w:cs="Arial"/>
        </w:rPr>
        <w:t xml:space="preserve">viable </w:t>
      </w:r>
      <w:r w:rsidRPr="00AE54E4">
        <w:rPr>
          <w:rFonts w:eastAsia="Times New Roman" w:cs="Arial"/>
        </w:rPr>
        <w:t>sc</w:t>
      </w:r>
      <w:r w:rsidR="0017561C" w:rsidRPr="00AE54E4">
        <w:rPr>
          <w:rFonts w:eastAsia="Times New Roman" w:cs="Arial"/>
        </w:rPr>
        <w:t>enarios outlined in Task B(a)</w:t>
      </w:r>
      <w:r w:rsidRPr="00AE54E4">
        <w:rPr>
          <w:rFonts w:eastAsia="Times New Roman" w:cs="Arial"/>
        </w:rPr>
        <w:t xml:space="preserve"> above, to outline the potential strategy for owning as well as sustainably managing the asset going forward. For example:</w:t>
      </w:r>
    </w:p>
    <w:p w14:paraId="7045461F" w14:textId="77777777" w:rsidR="006B2243" w:rsidRPr="00AE54E4" w:rsidRDefault="006B2243" w:rsidP="0071488E">
      <w:pPr>
        <w:spacing w:after="200" w:line="276" w:lineRule="auto"/>
        <w:ind w:left="720"/>
        <w:contextualSpacing/>
        <w:rPr>
          <w:rFonts w:eastAsia="Calibri" w:cs="Arial"/>
        </w:rPr>
      </w:pPr>
    </w:p>
    <w:p w14:paraId="2C9FFC63" w14:textId="77777777" w:rsidR="006B2243" w:rsidRPr="00AE54E4" w:rsidRDefault="006B2243" w:rsidP="006F2DC7">
      <w:pPr>
        <w:numPr>
          <w:ilvl w:val="1"/>
          <w:numId w:val="13"/>
        </w:numPr>
        <w:spacing w:after="200" w:line="276" w:lineRule="auto"/>
        <w:contextualSpacing/>
        <w:rPr>
          <w:rFonts w:eastAsia="Times New Roman" w:cs="Arial"/>
        </w:rPr>
      </w:pPr>
      <w:r w:rsidRPr="00AE54E4">
        <w:rPr>
          <w:rFonts w:eastAsia="Times New Roman" w:cs="Arial"/>
        </w:rPr>
        <w:t>Potential lease/ purchase arrangements between the DIO and the end user(s)?</w:t>
      </w:r>
    </w:p>
    <w:p w14:paraId="10A235D0" w14:textId="77777777" w:rsidR="006B2243" w:rsidRPr="00AE54E4" w:rsidRDefault="006B2243" w:rsidP="006F2DC7">
      <w:pPr>
        <w:numPr>
          <w:ilvl w:val="1"/>
          <w:numId w:val="13"/>
        </w:numPr>
        <w:spacing w:line="276" w:lineRule="auto"/>
        <w:contextualSpacing/>
        <w:rPr>
          <w:rFonts w:eastAsia="Times New Roman" w:cs="Arial"/>
        </w:rPr>
      </w:pPr>
      <w:r w:rsidRPr="00AE54E4">
        <w:rPr>
          <w:rFonts w:eastAsia="Times New Roman" w:cs="Arial"/>
        </w:rPr>
        <w:t>Potential scope to obtain Trust status.</w:t>
      </w:r>
    </w:p>
    <w:p w14:paraId="39F729DB" w14:textId="77777777" w:rsidR="006B2243" w:rsidRPr="00AE54E4" w:rsidRDefault="006B2243" w:rsidP="006F2DC7">
      <w:pPr>
        <w:numPr>
          <w:ilvl w:val="1"/>
          <w:numId w:val="13"/>
        </w:numPr>
        <w:spacing w:line="276" w:lineRule="auto"/>
        <w:contextualSpacing/>
        <w:rPr>
          <w:rFonts w:eastAsia="Times New Roman" w:cs="Arial"/>
        </w:rPr>
      </w:pPr>
      <w:r w:rsidRPr="00AE54E4">
        <w:rPr>
          <w:rFonts w:eastAsia="Times New Roman" w:cs="Arial"/>
        </w:rPr>
        <w:t>Potential scope to obtain public funding. Could a potential ‘umbrella’ lead organisation be identified?</w:t>
      </w:r>
    </w:p>
    <w:p w14:paraId="5A0D805D" w14:textId="77777777" w:rsidR="006B2243" w:rsidRPr="00AE54E4" w:rsidRDefault="006B2243" w:rsidP="006F2DC7">
      <w:pPr>
        <w:numPr>
          <w:ilvl w:val="1"/>
          <w:numId w:val="13"/>
        </w:numPr>
        <w:spacing w:line="276" w:lineRule="auto"/>
        <w:contextualSpacing/>
        <w:rPr>
          <w:rFonts w:eastAsia="Times New Roman" w:cs="Arial"/>
        </w:rPr>
      </w:pPr>
      <w:r w:rsidRPr="00AE54E4">
        <w:rPr>
          <w:rFonts w:eastAsia="Times New Roman" w:cs="Arial"/>
        </w:rPr>
        <w:t xml:space="preserve">Potential scope to set up a Trust with a consortium of interests (reflecting a mix of uses), or other?  </w:t>
      </w:r>
    </w:p>
    <w:p w14:paraId="53024667" w14:textId="34EF39EB" w:rsidR="006B2243" w:rsidRDefault="006B2243" w:rsidP="0071488E">
      <w:pPr>
        <w:spacing w:after="200" w:line="276" w:lineRule="auto"/>
        <w:ind w:left="720"/>
        <w:contextualSpacing/>
        <w:rPr>
          <w:rFonts w:eastAsia="Calibri" w:cs="Arial"/>
        </w:rPr>
      </w:pPr>
    </w:p>
    <w:p w14:paraId="588DC48F" w14:textId="77777777" w:rsidR="003B26B5" w:rsidRPr="00AE54E4" w:rsidRDefault="003B26B5" w:rsidP="0071488E">
      <w:pPr>
        <w:spacing w:after="200" w:line="276" w:lineRule="auto"/>
        <w:ind w:left="720"/>
        <w:contextualSpacing/>
        <w:rPr>
          <w:rFonts w:eastAsia="Calibri" w:cs="Arial"/>
        </w:rPr>
      </w:pPr>
    </w:p>
    <w:p w14:paraId="1953B65C" w14:textId="699E8FF9" w:rsidR="006B2243" w:rsidRPr="00AE54E4" w:rsidRDefault="006B2243" w:rsidP="006F2DC7">
      <w:pPr>
        <w:numPr>
          <w:ilvl w:val="0"/>
          <w:numId w:val="12"/>
        </w:numPr>
        <w:spacing w:after="200" w:line="276" w:lineRule="auto"/>
        <w:contextualSpacing/>
        <w:rPr>
          <w:rFonts w:eastAsia="Times New Roman" w:cs="Arial"/>
        </w:rPr>
      </w:pPr>
      <w:r w:rsidRPr="00AE54E4">
        <w:rPr>
          <w:rFonts w:eastAsia="Times New Roman" w:cs="Arial"/>
          <w:b/>
          <w:bCs/>
        </w:rPr>
        <w:lastRenderedPageBreak/>
        <w:t>Investment costs:</w:t>
      </w:r>
      <w:r w:rsidRPr="00AE54E4">
        <w:rPr>
          <w:rFonts w:eastAsia="Times New Roman" w:cs="Arial"/>
        </w:rPr>
        <w:t xml:space="preserve"> For each of the </w:t>
      </w:r>
      <w:r w:rsidR="00A92FC1" w:rsidRPr="00AE54E4">
        <w:rPr>
          <w:rFonts w:eastAsia="Times New Roman" w:cs="Arial"/>
        </w:rPr>
        <w:t xml:space="preserve">viable </w:t>
      </w:r>
      <w:r w:rsidRPr="00AE54E4">
        <w:rPr>
          <w:rFonts w:eastAsia="Times New Roman" w:cs="Arial"/>
        </w:rPr>
        <w:t>scenarios outlined in Task B(a) above, to consider the:</w:t>
      </w:r>
    </w:p>
    <w:p w14:paraId="3B87B233"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initial business investment costs;</w:t>
      </w:r>
    </w:p>
    <w:p w14:paraId="5FCC3301"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 xml:space="preserve">ongoing business management and maintenance costs. </w:t>
      </w:r>
    </w:p>
    <w:p w14:paraId="37CD9D75" w14:textId="77777777" w:rsidR="006B2243" w:rsidRPr="00AE54E4" w:rsidRDefault="006B2243" w:rsidP="006F2DC7">
      <w:pPr>
        <w:numPr>
          <w:ilvl w:val="2"/>
          <w:numId w:val="12"/>
        </w:numPr>
        <w:spacing w:after="200" w:line="276" w:lineRule="auto"/>
        <w:contextualSpacing/>
        <w:rPr>
          <w:rFonts w:eastAsia="Calibri" w:cs="Arial"/>
        </w:rPr>
      </w:pPr>
      <w:r w:rsidRPr="00AE54E4">
        <w:rPr>
          <w:rFonts w:eastAsia="Calibri" w:cs="Arial"/>
        </w:rPr>
        <w:t xml:space="preserve">business insurance implications and associated costs. </w:t>
      </w:r>
    </w:p>
    <w:p w14:paraId="3681F23B" w14:textId="78FFD7DC" w:rsidR="006B2243" w:rsidRPr="00AE54E4" w:rsidRDefault="006B2243" w:rsidP="0071488E">
      <w:pPr>
        <w:spacing w:after="200" w:line="276" w:lineRule="auto"/>
        <w:contextualSpacing/>
        <w:rPr>
          <w:rFonts w:eastAsia="Calibri" w:cs="Arial"/>
        </w:rPr>
      </w:pPr>
    </w:p>
    <w:p w14:paraId="32368BD7" w14:textId="77777777" w:rsidR="006B2243" w:rsidRPr="00AE54E4" w:rsidRDefault="006B2243" w:rsidP="0071488E">
      <w:pPr>
        <w:spacing w:after="200" w:line="276" w:lineRule="auto"/>
        <w:contextualSpacing/>
        <w:rPr>
          <w:rFonts w:eastAsia="Calibri" w:cs="Arial"/>
          <w:b/>
          <w:bCs/>
        </w:rPr>
      </w:pPr>
      <w:r w:rsidRPr="00AE54E4">
        <w:rPr>
          <w:rFonts w:eastAsia="Calibri" w:cs="Arial"/>
          <w:b/>
          <w:bCs/>
        </w:rPr>
        <w:t>Section C: Potential scope to relocate the SETT</w:t>
      </w:r>
    </w:p>
    <w:p w14:paraId="719F78BD" w14:textId="77777777" w:rsidR="006B2243" w:rsidRPr="00AE54E4" w:rsidRDefault="006B2243" w:rsidP="0071488E">
      <w:pPr>
        <w:textAlignment w:val="baseline"/>
        <w:rPr>
          <w:rFonts w:eastAsia="Times New Roman" w:cs="Arial"/>
          <w:b/>
          <w:bCs/>
          <w:lang w:eastAsia="en-GB"/>
        </w:rPr>
      </w:pPr>
    </w:p>
    <w:p w14:paraId="0DE7EF5D" w14:textId="77777777" w:rsidR="006B2243" w:rsidRPr="00AE54E4" w:rsidRDefault="006B2243" w:rsidP="0071488E">
      <w:pPr>
        <w:textAlignment w:val="baseline"/>
        <w:rPr>
          <w:rFonts w:eastAsia="Calibri" w:cs="Arial"/>
        </w:rPr>
      </w:pPr>
      <w:r w:rsidRPr="00AE54E4">
        <w:rPr>
          <w:rFonts w:eastAsia="Times New Roman" w:cs="Arial"/>
          <w:lang w:eastAsia="en-GB"/>
        </w:rPr>
        <w:t>The appointed consultant is to advise on whether it is technically and structurally feasible for the SETT to be taken down and relocated: </w:t>
      </w:r>
    </w:p>
    <w:p w14:paraId="15D66A46" w14:textId="77777777" w:rsidR="006B2243" w:rsidRPr="00AE54E4" w:rsidRDefault="006B2243" w:rsidP="0071488E">
      <w:pPr>
        <w:textAlignment w:val="baseline"/>
        <w:rPr>
          <w:rFonts w:eastAsia="Calibri" w:cs="Arial"/>
          <w:lang w:eastAsia="en-GB"/>
        </w:rPr>
      </w:pPr>
    </w:p>
    <w:p w14:paraId="5DB7CEB4" w14:textId="7758E3B7" w:rsidR="006B2243" w:rsidRPr="00AE54E4" w:rsidRDefault="006B2243" w:rsidP="006F2DC7">
      <w:pPr>
        <w:numPr>
          <w:ilvl w:val="0"/>
          <w:numId w:val="11"/>
        </w:numPr>
        <w:textAlignment w:val="baseline"/>
        <w:rPr>
          <w:rFonts w:eastAsia="Times New Roman" w:cs="Arial"/>
          <w:lang w:eastAsia="en-GB"/>
        </w:rPr>
      </w:pPr>
      <w:r w:rsidRPr="00AE54E4">
        <w:rPr>
          <w:rFonts w:eastAsia="Times New Roman" w:cs="Arial"/>
          <w:b/>
          <w:bCs/>
          <w:lang w:eastAsia="en-GB"/>
        </w:rPr>
        <w:t>To another part of the Blockhouse site.</w:t>
      </w:r>
      <w:r w:rsidRPr="00AE54E4">
        <w:rPr>
          <w:rFonts w:eastAsia="Times New Roman" w:cs="Arial"/>
          <w:lang w:eastAsia="en-GB"/>
        </w:rPr>
        <w:t>  For example, one option the DIO is currently exploring is for the SETT to become part of a museum on site.   </w:t>
      </w:r>
    </w:p>
    <w:p w14:paraId="6F81AFF8" w14:textId="77777777" w:rsidR="006B2243" w:rsidRPr="00AE54E4" w:rsidRDefault="006B2243" w:rsidP="0071488E">
      <w:pPr>
        <w:ind w:left="1440"/>
        <w:textAlignment w:val="baseline"/>
        <w:rPr>
          <w:rFonts w:eastAsia="Calibri" w:cs="Arial"/>
          <w:lang w:eastAsia="en-GB"/>
        </w:rPr>
      </w:pPr>
      <w:r w:rsidRPr="00AE54E4">
        <w:rPr>
          <w:rFonts w:eastAsia="Calibri" w:cs="Arial"/>
          <w:lang w:eastAsia="en-GB"/>
        </w:rPr>
        <w:t> </w:t>
      </w:r>
    </w:p>
    <w:p w14:paraId="5D48C277" w14:textId="77777777" w:rsidR="006B2243" w:rsidRPr="00AE54E4" w:rsidRDefault="006B2243" w:rsidP="006F2DC7">
      <w:pPr>
        <w:numPr>
          <w:ilvl w:val="0"/>
          <w:numId w:val="11"/>
        </w:numPr>
        <w:textAlignment w:val="baseline"/>
        <w:rPr>
          <w:rFonts w:eastAsia="Times New Roman" w:cs="Arial"/>
          <w:lang w:eastAsia="en-GB"/>
        </w:rPr>
      </w:pPr>
      <w:r w:rsidRPr="00AE54E4">
        <w:rPr>
          <w:rFonts w:eastAsia="Times New Roman" w:cs="Arial"/>
          <w:b/>
          <w:bCs/>
          <w:lang w:eastAsia="en-GB"/>
        </w:rPr>
        <w:t>Off site</w:t>
      </w:r>
      <w:r w:rsidRPr="00AE54E4">
        <w:rPr>
          <w:rFonts w:eastAsia="Times New Roman" w:cs="Arial"/>
          <w:lang w:eastAsia="en-GB"/>
        </w:rPr>
        <w:t>.  For example, one option which might be considered is for the SETT to become part of a museum off-site or become a private training facility for a diving club.   </w:t>
      </w:r>
    </w:p>
    <w:p w14:paraId="4B59355B" w14:textId="77777777" w:rsidR="006B2243" w:rsidRPr="00AE54E4" w:rsidRDefault="006B2243" w:rsidP="0071488E">
      <w:pPr>
        <w:ind w:left="720"/>
        <w:textAlignment w:val="baseline"/>
        <w:rPr>
          <w:rFonts w:eastAsia="Calibri" w:cs="Arial"/>
          <w:lang w:eastAsia="en-GB"/>
        </w:rPr>
      </w:pPr>
      <w:r w:rsidRPr="00AE54E4">
        <w:rPr>
          <w:rFonts w:eastAsia="Calibri" w:cs="Arial"/>
          <w:lang w:eastAsia="en-GB"/>
        </w:rPr>
        <w:t> </w:t>
      </w:r>
    </w:p>
    <w:p w14:paraId="3860D401" w14:textId="02D42B63" w:rsidR="006B2243" w:rsidRPr="00AE54E4" w:rsidRDefault="006B2243" w:rsidP="0071488E">
      <w:pPr>
        <w:textAlignment w:val="baseline"/>
        <w:rPr>
          <w:rFonts w:eastAsia="Calibri" w:cs="Arial"/>
          <w:lang w:eastAsia="en-GB"/>
        </w:rPr>
      </w:pPr>
      <w:r w:rsidRPr="00AE54E4">
        <w:rPr>
          <w:rFonts w:eastAsia="Calibri" w:cs="Arial"/>
          <w:lang w:eastAsia="en-GB"/>
        </w:rPr>
        <w:t>As the end user is not yet know</w:t>
      </w:r>
      <w:r w:rsidR="00285166" w:rsidRPr="00AE54E4">
        <w:rPr>
          <w:rFonts w:eastAsia="Calibri" w:cs="Arial"/>
          <w:lang w:eastAsia="en-GB"/>
        </w:rPr>
        <w:t>n</w:t>
      </w:r>
      <w:r w:rsidRPr="00AE54E4">
        <w:rPr>
          <w:rFonts w:eastAsia="Calibri" w:cs="Arial"/>
          <w:lang w:eastAsia="en-GB"/>
        </w:rPr>
        <w:t xml:space="preserve">, in both cases the appointed consultant is to consider the feasibility of relocating the SETT assuming it is retained as both a diving and non-diving facility. </w:t>
      </w:r>
    </w:p>
    <w:p w14:paraId="75B1EC13" w14:textId="77777777" w:rsidR="006B2243" w:rsidRPr="00AE54E4" w:rsidRDefault="006B2243" w:rsidP="0071488E">
      <w:pPr>
        <w:rPr>
          <w:rFonts w:eastAsia="Calibri" w:cs="Arial"/>
        </w:rPr>
      </w:pPr>
    </w:p>
    <w:p w14:paraId="45BA7A35" w14:textId="77777777" w:rsidR="006B2243" w:rsidRPr="00AE54E4" w:rsidRDefault="006B2243" w:rsidP="0071488E">
      <w:pPr>
        <w:rPr>
          <w:rFonts w:eastAsia="Calibri" w:cs="Arial"/>
        </w:rPr>
      </w:pPr>
      <w:r w:rsidRPr="00AE54E4">
        <w:rPr>
          <w:rFonts w:eastAsia="Calibri" w:cs="Arial"/>
        </w:rPr>
        <w:t>Please note, the selected consultant should not contact any existing and/or potential occupiers without first discussing this with the DIO.</w:t>
      </w:r>
    </w:p>
    <w:p w14:paraId="1DEF0CE9" w14:textId="77777777" w:rsidR="006B2243" w:rsidRPr="00AE54E4" w:rsidRDefault="006B2243" w:rsidP="0071488E">
      <w:pPr>
        <w:rPr>
          <w:rFonts w:eastAsia="Calibri" w:cs="Arial"/>
        </w:rPr>
      </w:pPr>
    </w:p>
    <w:p w14:paraId="76CF0F52" w14:textId="77777777" w:rsidR="006B2243" w:rsidRPr="00AE54E4" w:rsidRDefault="006B2243" w:rsidP="0071488E">
      <w:pPr>
        <w:rPr>
          <w:rFonts w:eastAsia="Calibri" w:cs="Arial"/>
          <w:i/>
        </w:rPr>
      </w:pPr>
      <w:r w:rsidRPr="00AE54E4">
        <w:rPr>
          <w:rFonts w:eastAsia="Calibri" w:cs="Arial"/>
          <w:i/>
        </w:rPr>
        <w:t>Note: Notwithstanding the above, the dismantling and / or relocation of the SETT, whether to a location within the greater Blockhouse site or elsewhere, is likely to be considered to cause substantial harm to the designated heritage asset under the terms set out in the NPPF. This scenario will need clear and convincing justification and is considered exceptional, as per paragraph 200 of the NPPF. This should only be considered as a last resort.</w:t>
      </w:r>
    </w:p>
    <w:p w14:paraId="008BC457" w14:textId="77777777" w:rsidR="006B2243" w:rsidRPr="00AE54E4" w:rsidRDefault="006B2243" w:rsidP="0071488E">
      <w:pPr>
        <w:rPr>
          <w:rFonts w:eastAsia="Calibri" w:cs="Arial"/>
        </w:rPr>
      </w:pPr>
    </w:p>
    <w:p w14:paraId="0CF7E15A" w14:textId="7470A36E" w:rsidR="006B2243" w:rsidRPr="00AE54E4" w:rsidRDefault="006B2243" w:rsidP="0071488E">
      <w:pPr>
        <w:rPr>
          <w:rFonts w:cs="Arial"/>
          <w:b/>
          <w:bCs/>
        </w:rPr>
      </w:pPr>
    </w:p>
    <w:p w14:paraId="7E92A8E8" w14:textId="77777777" w:rsidR="005420AE" w:rsidRPr="00AE54E4" w:rsidRDefault="005420AE" w:rsidP="005420AE">
      <w:pPr>
        <w:autoSpaceDE w:val="0"/>
        <w:autoSpaceDN w:val="0"/>
        <w:adjustRightInd w:val="0"/>
        <w:rPr>
          <w:rFonts w:cs="Arial"/>
          <w:b/>
          <w:bCs/>
          <w:color w:val="000000"/>
          <w:sz w:val="23"/>
          <w:szCs w:val="23"/>
        </w:rPr>
      </w:pPr>
      <w:r w:rsidRPr="00AE54E4">
        <w:rPr>
          <w:rFonts w:cs="Arial"/>
          <w:b/>
          <w:color w:val="000000"/>
          <w:sz w:val="23"/>
          <w:szCs w:val="23"/>
        </w:rPr>
        <w:t xml:space="preserve">2.2 </w:t>
      </w:r>
      <w:r w:rsidRPr="00AE54E4">
        <w:rPr>
          <w:rFonts w:eastAsia="Calibri" w:cs="Arial"/>
          <w:b/>
          <w:bCs/>
        </w:rPr>
        <w:t>Site Visit</w:t>
      </w:r>
      <w:r w:rsidRPr="00AE54E4">
        <w:rPr>
          <w:rFonts w:cs="Arial"/>
          <w:b/>
          <w:bCs/>
          <w:color w:val="000000"/>
          <w:sz w:val="23"/>
          <w:szCs w:val="23"/>
        </w:rPr>
        <w:t xml:space="preserve"> </w:t>
      </w:r>
    </w:p>
    <w:p w14:paraId="5B66BED8" w14:textId="77777777" w:rsidR="005420AE" w:rsidRPr="00AE54E4" w:rsidRDefault="005420AE" w:rsidP="005420AE">
      <w:pPr>
        <w:autoSpaceDE w:val="0"/>
        <w:autoSpaceDN w:val="0"/>
        <w:adjustRightInd w:val="0"/>
        <w:rPr>
          <w:rFonts w:cs="Arial"/>
          <w:color w:val="000000"/>
          <w:sz w:val="23"/>
          <w:szCs w:val="23"/>
        </w:rPr>
      </w:pPr>
    </w:p>
    <w:p w14:paraId="5873BCF5" w14:textId="1199E6DB" w:rsidR="00985263" w:rsidRPr="00AE54E4" w:rsidRDefault="00985263" w:rsidP="00985263">
      <w:pPr>
        <w:autoSpaceDE w:val="0"/>
        <w:autoSpaceDN w:val="0"/>
        <w:rPr>
          <w:rFonts w:cs="Arial"/>
          <w:color w:val="000000"/>
          <w:sz w:val="23"/>
          <w:szCs w:val="23"/>
        </w:rPr>
      </w:pPr>
      <w:r w:rsidRPr="00AE54E4">
        <w:rPr>
          <w:rFonts w:cs="Arial"/>
          <w:color w:val="000000"/>
          <w:sz w:val="23"/>
          <w:szCs w:val="23"/>
        </w:rPr>
        <w:t>To undertake this work it will be necessary to visit the site on at least one occasion and potentially more.    Details of arranging site visits will be agreed with the DIO at the inception meeting with the successful bidder.  In the meantime, please note:</w:t>
      </w:r>
    </w:p>
    <w:p w14:paraId="6B24FAA9" w14:textId="77777777" w:rsidR="00985263" w:rsidRPr="00AE54E4" w:rsidRDefault="00985263" w:rsidP="006F2DC7">
      <w:pPr>
        <w:numPr>
          <w:ilvl w:val="0"/>
          <w:numId w:val="19"/>
        </w:numPr>
        <w:autoSpaceDE w:val="0"/>
        <w:autoSpaceDN w:val="0"/>
        <w:rPr>
          <w:rFonts w:eastAsia="Times New Roman" w:cs="Arial"/>
          <w:color w:val="000000"/>
          <w:sz w:val="23"/>
          <w:szCs w:val="23"/>
        </w:rPr>
      </w:pPr>
      <w:r w:rsidRPr="00AE54E4">
        <w:rPr>
          <w:rFonts w:eastAsia="Times New Roman" w:cs="Arial"/>
          <w:color w:val="000000"/>
          <w:sz w:val="23"/>
          <w:szCs w:val="23"/>
        </w:rPr>
        <w:t>All visits will need to be escorted at all times by the Head of Establishment (or a member of his team).</w:t>
      </w:r>
    </w:p>
    <w:p w14:paraId="04B128AC" w14:textId="77777777" w:rsidR="00985263" w:rsidRPr="00AE54E4" w:rsidRDefault="00985263" w:rsidP="006F2DC7">
      <w:pPr>
        <w:numPr>
          <w:ilvl w:val="0"/>
          <w:numId w:val="19"/>
        </w:numPr>
        <w:autoSpaceDE w:val="0"/>
        <w:autoSpaceDN w:val="0"/>
        <w:rPr>
          <w:rFonts w:eastAsia="Times New Roman" w:cs="Arial"/>
          <w:color w:val="000000"/>
          <w:sz w:val="23"/>
          <w:szCs w:val="23"/>
        </w:rPr>
      </w:pPr>
      <w:r w:rsidRPr="00AE54E4">
        <w:rPr>
          <w:rFonts w:eastAsia="Times New Roman" w:cs="Arial"/>
          <w:color w:val="000000"/>
          <w:sz w:val="23"/>
          <w:szCs w:val="23"/>
        </w:rPr>
        <w:t xml:space="preserve">A maximum of five people can visit the SETT at any one time. </w:t>
      </w:r>
    </w:p>
    <w:p w14:paraId="1B720AF4" w14:textId="77777777" w:rsidR="00985263" w:rsidRPr="00AE54E4" w:rsidRDefault="00985263" w:rsidP="006F2DC7">
      <w:pPr>
        <w:numPr>
          <w:ilvl w:val="0"/>
          <w:numId w:val="19"/>
        </w:numPr>
        <w:autoSpaceDE w:val="0"/>
        <w:autoSpaceDN w:val="0"/>
        <w:rPr>
          <w:rFonts w:eastAsia="Times New Roman" w:cs="Arial"/>
          <w:color w:val="000000"/>
          <w:sz w:val="23"/>
          <w:szCs w:val="23"/>
        </w:rPr>
      </w:pPr>
      <w:r w:rsidRPr="00AE54E4">
        <w:rPr>
          <w:rFonts w:eastAsia="Times New Roman" w:cs="Arial"/>
          <w:color w:val="000000"/>
          <w:sz w:val="23"/>
          <w:szCs w:val="23"/>
        </w:rPr>
        <w:t>The lift is in operation but it can be temperamental.  As such, anyone visiting the building will need to be fit and healthy enough to ascend/descend steep staircases if required.</w:t>
      </w:r>
    </w:p>
    <w:p w14:paraId="011AFC86" w14:textId="77777777" w:rsidR="00985263" w:rsidRPr="00AE54E4" w:rsidRDefault="00985263" w:rsidP="006F2DC7">
      <w:pPr>
        <w:numPr>
          <w:ilvl w:val="0"/>
          <w:numId w:val="19"/>
        </w:numPr>
        <w:autoSpaceDE w:val="0"/>
        <w:autoSpaceDN w:val="0"/>
        <w:rPr>
          <w:rFonts w:eastAsia="Times New Roman" w:cs="Arial"/>
          <w:color w:val="000000"/>
          <w:sz w:val="23"/>
          <w:szCs w:val="23"/>
        </w:rPr>
      </w:pPr>
      <w:r w:rsidRPr="00AE54E4">
        <w:rPr>
          <w:rFonts w:eastAsia="Times New Roman" w:cs="Arial"/>
          <w:color w:val="000000"/>
          <w:sz w:val="23"/>
          <w:szCs w:val="23"/>
        </w:rPr>
        <w:t>All visitors will need sturdy shoes.</w:t>
      </w:r>
    </w:p>
    <w:p w14:paraId="3C175853" w14:textId="031A0E9E" w:rsidR="005420AE" w:rsidRDefault="005420AE" w:rsidP="0071488E">
      <w:pPr>
        <w:rPr>
          <w:rFonts w:cs="Arial"/>
          <w:b/>
          <w:bCs/>
        </w:rPr>
      </w:pPr>
    </w:p>
    <w:p w14:paraId="19AF6E7C" w14:textId="77777777" w:rsidR="003B26B5" w:rsidRPr="00AE54E4" w:rsidRDefault="003B26B5" w:rsidP="0071488E">
      <w:pPr>
        <w:rPr>
          <w:rFonts w:cs="Arial"/>
          <w:b/>
          <w:bCs/>
        </w:rPr>
      </w:pPr>
    </w:p>
    <w:p w14:paraId="7EE50C3B" w14:textId="70EE2C61" w:rsidR="006B012D" w:rsidRPr="00AE54E4" w:rsidRDefault="006B012D" w:rsidP="0071488E">
      <w:pPr>
        <w:rPr>
          <w:rFonts w:eastAsia="Calibri" w:cs="Arial"/>
          <w:b/>
          <w:bCs/>
        </w:rPr>
      </w:pPr>
      <w:r w:rsidRPr="00AE54E4">
        <w:rPr>
          <w:rFonts w:eastAsia="Calibri" w:cs="Arial"/>
          <w:b/>
          <w:bCs/>
        </w:rPr>
        <w:lastRenderedPageBreak/>
        <w:t>2.</w:t>
      </w:r>
      <w:r w:rsidR="0012198C" w:rsidRPr="00AE54E4">
        <w:rPr>
          <w:rFonts w:eastAsia="Calibri" w:cs="Arial"/>
          <w:b/>
          <w:bCs/>
        </w:rPr>
        <w:t>3</w:t>
      </w:r>
      <w:r w:rsidRPr="00AE54E4">
        <w:rPr>
          <w:rFonts w:eastAsia="Calibri" w:cs="Arial"/>
          <w:b/>
          <w:bCs/>
        </w:rPr>
        <w:t xml:space="preserve"> Outputs</w:t>
      </w:r>
    </w:p>
    <w:p w14:paraId="59DA1FBE" w14:textId="77777777" w:rsidR="006B2243" w:rsidRPr="00AE54E4" w:rsidRDefault="006B2243" w:rsidP="0071488E">
      <w:pPr>
        <w:ind w:left="720"/>
        <w:contextualSpacing/>
        <w:rPr>
          <w:rFonts w:cs="Arial"/>
          <w:b/>
          <w:lang w:val="en-US"/>
        </w:rPr>
      </w:pPr>
    </w:p>
    <w:p w14:paraId="35207CBC" w14:textId="741623A1" w:rsidR="006B2243" w:rsidRPr="00AE54E4" w:rsidRDefault="006B012D" w:rsidP="0071488E">
      <w:pPr>
        <w:contextualSpacing/>
        <w:rPr>
          <w:rFonts w:cs="Arial"/>
          <w:lang w:val="en-US"/>
        </w:rPr>
      </w:pPr>
      <w:r w:rsidRPr="00AE54E4">
        <w:rPr>
          <w:rFonts w:cs="Arial"/>
          <w:lang w:val="en-US"/>
        </w:rPr>
        <w:t xml:space="preserve">Following the considerations outlined in 2.1 the consultant’s report should addressed all matters included in the ‘Scope of the Report’. </w:t>
      </w:r>
    </w:p>
    <w:p w14:paraId="1061BD18" w14:textId="729BB42C" w:rsidR="00863045" w:rsidRPr="00AE54E4" w:rsidRDefault="00863045" w:rsidP="0071488E">
      <w:pPr>
        <w:contextualSpacing/>
        <w:rPr>
          <w:rFonts w:cs="Arial"/>
          <w:lang w:val="en-US"/>
        </w:rPr>
      </w:pPr>
    </w:p>
    <w:p w14:paraId="4C279C64" w14:textId="0C489DFE" w:rsidR="00863045" w:rsidRPr="00AE54E4" w:rsidRDefault="00863045" w:rsidP="00863045">
      <w:pPr>
        <w:jc w:val="both"/>
        <w:rPr>
          <w:rFonts w:cs="Arial"/>
        </w:rPr>
      </w:pPr>
      <w:r w:rsidRPr="00AE54E4">
        <w:rPr>
          <w:rFonts w:cs="Arial"/>
        </w:rPr>
        <w:t xml:space="preserve">At the completion of the project, the consultant shall provide both the GBC and DIO with an electronic copy of the report. </w:t>
      </w:r>
    </w:p>
    <w:p w14:paraId="26A79653" w14:textId="77777777" w:rsidR="00863045" w:rsidRPr="00AE54E4" w:rsidRDefault="00863045" w:rsidP="00863045">
      <w:pPr>
        <w:jc w:val="both"/>
        <w:rPr>
          <w:rFonts w:cs="Arial"/>
        </w:rPr>
      </w:pPr>
    </w:p>
    <w:p w14:paraId="063EBA82" w14:textId="120E3930" w:rsidR="00863045" w:rsidRPr="00AE54E4" w:rsidRDefault="00863045" w:rsidP="00863045">
      <w:pPr>
        <w:jc w:val="both"/>
        <w:rPr>
          <w:rFonts w:cs="Arial"/>
        </w:rPr>
      </w:pPr>
      <w:r w:rsidRPr="00AE54E4">
        <w:rPr>
          <w:rFonts w:cs="Arial"/>
        </w:rPr>
        <w:t>Copyright for all d</w:t>
      </w:r>
      <w:r w:rsidR="00554222" w:rsidRPr="00AE54E4">
        <w:rPr>
          <w:rFonts w:cs="Arial"/>
        </w:rPr>
        <w:t xml:space="preserve">ocumentation shall be given to </w:t>
      </w:r>
      <w:r w:rsidRPr="00AE54E4">
        <w:rPr>
          <w:rFonts w:cs="Arial"/>
        </w:rPr>
        <w:t>GBC and DIO.</w:t>
      </w:r>
    </w:p>
    <w:p w14:paraId="11F2A83F" w14:textId="0445D361" w:rsidR="006B012D" w:rsidRPr="00AE54E4" w:rsidRDefault="006B012D" w:rsidP="0071488E">
      <w:pPr>
        <w:ind w:left="720"/>
        <w:contextualSpacing/>
        <w:rPr>
          <w:rFonts w:cs="Arial"/>
          <w:b/>
          <w:lang w:val="en-US"/>
        </w:rPr>
      </w:pPr>
    </w:p>
    <w:p w14:paraId="0BEB2090" w14:textId="5BBE6304" w:rsidR="006B012D" w:rsidRPr="00AE54E4" w:rsidRDefault="0012198C" w:rsidP="006F2DC7">
      <w:pPr>
        <w:pStyle w:val="ListParagraph"/>
        <w:numPr>
          <w:ilvl w:val="1"/>
          <w:numId w:val="18"/>
        </w:numPr>
        <w:rPr>
          <w:rFonts w:eastAsia="Calibri" w:cs="Arial"/>
          <w:b/>
          <w:bCs/>
        </w:rPr>
      </w:pPr>
      <w:r w:rsidRPr="00AE54E4">
        <w:rPr>
          <w:rFonts w:eastAsia="Calibri" w:cs="Arial"/>
          <w:b/>
          <w:bCs/>
        </w:rPr>
        <w:t xml:space="preserve"> </w:t>
      </w:r>
      <w:r w:rsidR="006B012D" w:rsidRPr="00AE54E4">
        <w:rPr>
          <w:rFonts w:eastAsia="Calibri" w:cs="Arial"/>
          <w:b/>
          <w:bCs/>
        </w:rPr>
        <w:t>Project Team Skills</w:t>
      </w:r>
    </w:p>
    <w:p w14:paraId="564CE9E3" w14:textId="77777777" w:rsidR="006B012D" w:rsidRPr="00AE54E4" w:rsidRDefault="006B012D" w:rsidP="0071488E">
      <w:pPr>
        <w:rPr>
          <w:rFonts w:cs="Arial"/>
        </w:rPr>
      </w:pPr>
    </w:p>
    <w:p w14:paraId="5FB57E6F" w14:textId="4721B450" w:rsidR="006B012D" w:rsidRPr="00AE54E4" w:rsidRDefault="006B012D" w:rsidP="0071488E">
      <w:pPr>
        <w:rPr>
          <w:rFonts w:eastAsia="Calibri" w:cs="Arial"/>
        </w:rPr>
      </w:pPr>
      <w:r w:rsidRPr="00AE54E4">
        <w:rPr>
          <w:rFonts w:eastAsia="Calibri" w:cs="Arial"/>
        </w:rPr>
        <w:t xml:space="preserve">This invitation </w:t>
      </w:r>
      <w:r w:rsidR="00094ED8" w:rsidRPr="00AE54E4">
        <w:rPr>
          <w:rFonts w:eastAsia="Calibri" w:cs="Arial"/>
        </w:rPr>
        <w:t>is open</w:t>
      </w:r>
      <w:r w:rsidR="009F36B5">
        <w:rPr>
          <w:rFonts w:eastAsia="Calibri" w:cs="Arial"/>
        </w:rPr>
        <w:t xml:space="preserve"> to</w:t>
      </w:r>
      <w:r w:rsidRPr="00AE54E4">
        <w:rPr>
          <w:rFonts w:eastAsia="Calibri" w:cs="Arial"/>
        </w:rPr>
        <w:t xml:space="preserve"> consultancies which are believed to have, or be able to call upon</w:t>
      </w:r>
      <w:r w:rsidR="0012198C" w:rsidRPr="00AE54E4">
        <w:rPr>
          <w:rFonts w:eastAsia="Calibri" w:cs="Arial"/>
        </w:rPr>
        <w:t xml:space="preserve"> the</w:t>
      </w:r>
      <w:r w:rsidRPr="00AE54E4">
        <w:rPr>
          <w:rFonts w:eastAsia="Calibri" w:cs="Arial"/>
        </w:rPr>
        <w:t xml:space="preserve"> relevant skills.  </w:t>
      </w:r>
    </w:p>
    <w:p w14:paraId="50C0416A" w14:textId="77777777" w:rsidR="006B012D" w:rsidRPr="00AE54E4" w:rsidRDefault="006B012D" w:rsidP="0071488E">
      <w:pPr>
        <w:rPr>
          <w:rFonts w:cs="Arial"/>
        </w:rPr>
      </w:pPr>
    </w:p>
    <w:p w14:paraId="7A9A5838" w14:textId="77777777" w:rsidR="006B012D" w:rsidRPr="00AE54E4" w:rsidRDefault="006B012D" w:rsidP="0071488E">
      <w:pPr>
        <w:rPr>
          <w:rFonts w:cs="Arial"/>
        </w:rPr>
      </w:pPr>
      <w:r w:rsidRPr="00AE54E4">
        <w:rPr>
          <w:rFonts w:cs="Arial"/>
        </w:rPr>
        <w:t xml:space="preserve">Your fee proposal will need to demonstrate your firm has the following knowledge and understanding of the following: </w:t>
      </w:r>
    </w:p>
    <w:p w14:paraId="0E375EF2" w14:textId="77777777" w:rsidR="006B012D" w:rsidRPr="00AE54E4" w:rsidRDefault="006B012D" w:rsidP="006F2DC7">
      <w:pPr>
        <w:pStyle w:val="ListParagraph"/>
        <w:numPr>
          <w:ilvl w:val="0"/>
          <w:numId w:val="15"/>
        </w:numPr>
        <w:contextualSpacing w:val="0"/>
        <w:rPr>
          <w:rFonts w:cs="Arial"/>
        </w:rPr>
      </w:pPr>
      <w:r w:rsidRPr="00AE54E4">
        <w:rPr>
          <w:rFonts w:cs="Arial"/>
        </w:rPr>
        <w:t xml:space="preserve">Assessing the condition and structure of historic and/or unique buildings and making recommendations as appropriate. </w:t>
      </w:r>
    </w:p>
    <w:p w14:paraId="7D423477" w14:textId="77777777" w:rsidR="006B012D" w:rsidRPr="00AE54E4" w:rsidRDefault="006B012D" w:rsidP="006F2DC7">
      <w:pPr>
        <w:pStyle w:val="ListParagraph"/>
        <w:numPr>
          <w:ilvl w:val="0"/>
          <w:numId w:val="15"/>
        </w:numPr>
        <w:contextualSpacing w:val="0"/>
        <w:rPr>
          <w:rFonts w:cs="Arial"/>
        </w:rPr>
      </w:pPr>
      <w:r w:rsidRPr="00AE54E4">
        <w:rPr>
          <w:rFonts w:cs="Arial"/>
        </w:rPr>
        <w:t xml:space="preserve">Assessing the commercial prospects associated with the re-use/redevelopment of historic and/or unique buildings and making recommendations as appropriate. </w:t>
      </w:r>
    </w:p>
    <w:p w14:paraId="6FE3AF2A" w14:textId="185DD67A" w:rsidR="006B012D" w:rsidRPr="00AE54E4" w:rsidRDefault="006B012D" w:rsidP="006F2DC7">
      <w:pPr>
        <w:pStyle w:val="ListParagraph"/>
        <w:numPr>
          <w:ilvl w:val="0"/>
          <w:numId w:val="15"/>
        </w:numPr>
        <w:contextualSpacing w:val="0"/>
        <w:rPr>
          <w:rFonts w:cs="Arial"/>
        </w:rPr>
      </w:pPr>
      <w:r w:rsidRPr="00AE54E4">
        <w:rPr>
          <w:rFonts w:cs="Arial"/>
        </w:rPr>
        <w:t xml:space="preserve">Experience of engaging with Conservation Officers and Historic England. </w:t>
      </w:r>
    </w:p>
    <w:p w14:paraId="62F9CC9A" w14:textId="3DB136BE" w:rsidR="0012198C" w:rsidRPr="00AE54E4" w:rsidRDefault="0012198C" w:rsidP="0012198C">
      <w:pPr>
        <w:rPr>
          <w:rFonts w:cs="Arial"/>
        </w:rPr>
      </w:pPr>
    </w:p>
    <w:p w14:paraId="6C0FA660" w14:textId="3FC7AEE6" w:rsidR="0012198C" w:rsidRPr="00AE54E4" w:rsidRDefault="0012198C" w:rsidP="0012198C">
      <w:pPr>
        <w:contextualSpacing/>
        <w:rPr>
          <w:rFonts w:cs="Arial"/>
          <w:lang w:val="en-US"/>
        </w:rPr>
      </w:pPr>
      <w:r w:rsidRPr="00AE54E4">
        <w:rPr>
          <w:rFonts w:cs="Arial"/>
          <w:lang w:val="en-US"/>
        </w:rPr>
        <w:t>The names and qualifications of the team who would be carrying out the work, along with their committed hours and their hourly rate, and of any sub-consultants that you would engage to provide specialist input, together with a brief résumé of their relevant experience; their fee etc, is also required.</w:t>
      </w:r>
    </w:p>
    <w:p w14:paraId="70D0C2AF" w14:textId="71E4A6B3" w:rsidR="006B2243" w:rsidRPr="00AE54E4" w:rsidRDefault="006B2243" w:rsidP="008D2961">
      <w:pPr>
        <w:ind w:left="720"/>
        <w:contextualSpacing/>
        <w:rPr>
          <w:rFonts w:cs="Arial"/>
          <w:b/>
          <w:lang w:val="en-US"/>
        </w:rPr>
      </w:pPr>
    </w:p>
    <w:p w14:paraId="3A6B5C52" w14:textId="7F4823E8" w:rsidR="0005703B" w:rsidRPr="00AE54E4" w:rsidRDefault="0005703B" w:rsidP="00B76F0E">
      <w:pPr>
        <w:rPr>
          <w:rFonts w:cs="Arial"/>
        </w:rPr>
      </w:pPr>
    </w:p>
    <w:p w14:paraId="43C18EE1" w14:textId="0E00A8D8" w:rsidR="00F678BC" w:rsidRPr="00AE54E4" w:rsidRDefault="0012198C" w:rsidP="00B76F0E">
      <w:pPr>
        <w:rPr>
          <w:rFonts w:cs="Arial"/>
          <w:b/>
        </w:rPr>
      </w:pPr>
      <w:r w:rsidRPr="00AE54E4">
        <w:rPr>
          <w:rFonts w:cs="Arial"/>
          <w:b/>
        </w:rPr>
        <w:t>2.5</w:t>
      </w:r>
      <w:r w:rsidR="00F678BC" w:rsidRPr="00AE54E4">
        <w:rPr>
          <w:rFonts w:cs="Arial"/>
          <w:b/>
        </w:rPr>
        <w:tab/>
        <w:t xml:space="preserve">Contract Term </w:t>
      </w:r>
    </w:p>
    <w:p w14:paraId="73932673" w14:textId="77777777" w:rsidR="00F678BC" w:rsidRPr="00AE54E4" w:rsidRDefault="00F678BC" w:rsidP="00B76F0E">
      <w:pPr>
        <w:rPr>
          <w:rFonts w:cs="Arial"/>
        </w:rPr>
      </w:pPr>
    </w:p>
    <w:p w14:paraId="6F370C60" w14:textId="013FE975" w:rsidR="00F678BC" w:rsidRPr="00AE54E4" w:rsidRDefault="00F678BC" w:rsidP="00094ED8">
      <w:pPr>
        <w:rPr>
          <w:rFonts w:cs="Arial"/>
        </w:rPr>
      </w:pPr>
      <w:r w:rsidRPr="00AE54E4">
        <w:rPr>
          <w:rFonts w:cs="Arial"/>
        </w:rPr>
        <w:t xml:space="preserve">The Council proposes to enter </w:t>
      </w:r>
      <w:r w:rsidR="005420AE" w:rsidRPr="00AE54E4">
        <w:rPr>
          <w:rFonts w:cs="Arial"/>
        </w:rPr>
        <w:t>into a Contract for a period of</w:t>
      </w:r>
      <w:r w:rsidR="00094ED8" w:rsidRPr="00AE54E4">
        <w:rPr>
          <w:rFonts w:cs="Arial"/>
        </w:rPr>
        <w:t xml:space="preserve"> approximately 4</w:t>
      </w:r>
      <w:r w:rsidRPr="00AE54E4">
        <w:rPr>
          <w:rFonts w:cs="Arial"/>
        </w:rPr>
        <w:t xml:space="preserve"> months with the successful </w:t>
      </w:r>
      <w:r w:rsidR="00094ED8" w:rsidRPr="00AE54E4">
        <w:rPr>
          <w:rFonts w:cs="Arial"/>
        </w:rPr>
        <w:t>consultant</w:t>
      </w:r>
      <w:r w:rsidRPr="00AE54E4">
        <w:rPr>
          <w:rFonts w:cs="Arial"/>
        </w:rPr>
        <w:t xml:space="preserve">. </w:t>
      </w:r>
    </w:p>
    <w:p w14:paraId="2DE2AFCB" w14:textId="77777777" w:rsidR="00F678BC" w:rsidRPr="00AE54E4" w:rsidRDefault="00F678BC" w:rsidP="00F678BC">
      <w:pPr>
        <w:ind w:left="720"/>
        <w:rPr>
          <w:rFonts w:cs="Arial"/>
        </w:rPr>
      </w:pPr>
    </w:p>
    <w:p w14:paraId="6C7ECE64" w14:textId="33142962" w:rsidR="00F678BC" w:rsidRPr="00AE54E4" w:rsidRDefault="00F678BC" w:rsidP="00094ED8">
      <w:pPr>
        <w:rPr>
          <w:rFonts w:cs="Arial"/>
        </w:rPr>
      </w:pPr>
      <w:r w:rsidRPr="00AE54E4">
        <w:rPr>
          <w:rFonts w:cs="Arial"/>
        </w:rPr>
        <w:t xml:space="preserve">The anticipated service commencement date is </w:t>
      </w:r>
      <w:r w:rsidR="00A5675A" w:rsidRPr="00AE54E4">
        <w:rPr>
          <w:rFonts w:cs="Arial"/>
        </w:rPr>
        <w:t xml:space="preserve">week commencing </w:t>
      </w:r>
      <w:r w:rsidR="00E36C1A" w:rsidRPr="00E36C1A">
        <w:rPr>
          <w:rFonts w:cs="Arial"/>
        </w:rPr>
        <w:t>27</w:t>
      </w:r>
      <w:r w:rsidR="00A5675A" w:rsidRPr="00E36C1A">
        <w:rPr>
          <w:rFonts w:cs="Arial"/>
          <w:vertAlign w:val="superscript"/>
        </w:rPr>
        <w:t>th</w:t>
      </w:r>
      <w:r w:rsidR="00A5675A" w:rsidRPr="00E36C1A">
        <w:rPr>
          <w:rFonts w:cs="Arial"/>
        </w:rPr>
        <w:t xml:space="preserve"> March 2023</w:t>
      </w:r>
      <w:r w:rsidRPr="00AE54E4">
        <w:rPr>
          <w:rFonts w:cs="Arial"/>
        </w:rPr>
        <w:t xml:space="preserve"> </w:t>
      </w:r>
    </w:p>
    <w:p w14:paraId="2F13090F" w14:textId="59100546" w:rsidR="005A616A" w:rsidRPr="00AE54E4" w:rsidRDefault="005A616A" w:rsidP="00094ED8">
      <w:pPr>
        <w:rPr>
          <w:rFonts w:cs="Arial"/>
        </w:rPr>
      </w:pPr>
    </w:p>
    <w:p w14:paraId="1E9CEB96" w14:textId="53E0D1F5" w:rsidR="005A616A" w:rsidRPr="00AE54E4" w:rsidRDefault="005A616A" w:rsidP="006F2DC7">
      <w:pPr>
        <w:pStyle w:val="ListParagraph"/>
        <w:numPr>
          <w:ilvl w:val="1"/>
          <w:numId w:val="20"/>
        </w:numPr>
        <w:ind w:left="709" w:hanging="709"/>
        <w:rPr>
          <w:rFonts w:cs="Arial"/>
          <w:b/>
        </w:rPr>
      </w:pPr>
      <w:r w:rsidRPr="00AE54E4">
        <w:rPr>
          <w:rFonts w:cs="Arial"/>
          <w:b/>
        </w:rPr>
        <w:t>Insurance Requirements</w:t>
      </w:r>
    </w:p>
    <w:p w14:paraId="56A744E4" w14:textId="77777777" w:rsidR="005A616A" w:rsidRPr="00AE54E4" w:rsidRDefault="005A616A" w:rsidP="00094ED8">
      <w:pPr>
        <w:rPr>
          <w:rFonts w:cs="Arial"/>
        </w:rPr>
      </w:pPr>
    </w:p>
    <w:p w14:paraId="57C0D5C0" w14:textId="77777777" w:rsidR="00F678BC" w:rsidRPr="00AE54E4" w:rsidRDefault="00F678BC" w:rsidP="00F678BC">
      <w:pPr>
        <w:ind w:left="720"/>
        <w:rPr>
          <w:rFonts w:cs="Arial"/>
        </w:rPr>
      </w:pPr>
    </w:p>
    <w:tbl>
      <w:tblPr>
        <w:tblStyle w:val="TableGrid"/>
        <w:tblW w:w="0" w:type="auto"/>
        <w:tblInd w:w="-5" w:type="dxa"/>
        <w:tblLook w:val="04A0" w:firstRow="1" w:lastRow="0" w:firstColumn="1" w:lastColumn="0" w:noHBand="0" w:noVBand="1"/>
      </w:tblPr>
      <w:tblGrid>
        <w:gridCol w:w="6255"/>
        <w:gridCol w:w="2766"/>
      </w:tblGrid>
      <w:tr w:rsidR="00F678BC" w:rsidRPr="00AE54E4" w14:paraId="66A6FAFB" w14:textId="77777777" w:rsidTr="005A616A">
        <w:trPr>
          <w:trHeight w:val="365"/>
        </w:trPr>
        <w:tc>
          <w:tcPr>
            <w:tcW w:w="6255" w:type="dxa"/>
            <w:vAlign w:val="center"/>
          </w:tcPr>
          <w:p w14:paraId="5211B500" w14:textId="77777777" w:rsidR="00F678BC" w:rsidRPr="00AE54E4" w:rsidRDefault="00F678BC" w:rsidP="005A616A">
            <w:pPr>
              <w:rPr>
                <w:rFonts w:cs="Arial"/>
              </w:rPr>
            </w:pPr>
            <w:r w:rsidRPr="00AE54E4">
              <w:rPr>
                <w:rFonts w:cs="Arial"/>
              </w:rPr>
              <w:t>Professional Indemnity: (for the life of the contract)</w:t>
            </w:r>
          </w:p>
        </w:tc>
        <w:tc>
          <w:tcPr>
            <w:tcW w:w="2766" w:type="dxa"/>
            <w:vAlign w:val="center"/>
          </w:tcPr>
          <w:p w14:paraId="0C59A8A2" w14:textId="77777777" w:rsidR="00F678BC" w:rsidRPr="00AE54E4" w:rsidRDefault="00F678BC" w:rsidP="005A616A">
            <w:pPr>
              <w:rPr>
                <w:rFonts w:cs="Arial"/>
              </w:rPr>
            </w:pPr>
            <w:r w:rsidRPr="00AE54E4">
              <w:rPr>
                <w:rFonts w:cs="Arial"/>
              </w:rPr>
              <w:t>£1 million</w:t>
            </w:r>
          </w:p>
        </w:tc>
      </w:tr>
      <w:tr w:rsidR="00F678BC" w:rsidRPr="00AE54E4" w14:paraId="6B8A8F1D" w14:textId="77777777" w:rsidTr="005A616A">
        <w:trPr>
          <w:trHeight w:val="413"/>
        </w:trPr>
        <w:tc>
          <w:tcPr>
            <w:tcW w:w="6255" w:type="dxa"/>
            <w:vAlign w:val="center"/>
          </w:tcPr>
          <w:p w14:paraId="2EF76EDD" w14:textId="77777777" w:rsidR="00F678BC" w:rsidRPr="00AE54E4" w:rsidRDefault="00F678BC" w:rsidP="005A616A">
            <w:pPr>
              <w:rPr>
                <w:rFonts w:cs="Arial"/>
              </w:rPr>
            </w:pPr>
            <w:r w:rsidRPr="00AE54E4">
              <w:rPr>
                <w:rFonts w:cs="Arial"/>
              </w:rPr>
              <w:t>Public Liability</w:t>
            </w:r>
          </w:p>
        </w:tc>
        <w:tc>
          <w:tcPr>
            <w:tcW w:w="2766" w:type="dxa"/>
            <w:vAlign w:val="center"/>
          </w:tcPr>
          <w:p w14:paraId="6947335E" w14:textId="013E83CF" w:rsidR="00F678BC" w:rsidRPr="00AE54E4" w:rsidRDefault="00F678BC" w:rsidP="005A616A">
            <w:pPr>
              <w:rPr>
                <w:rFonts w:cs="Arial"/>
              </w:rPr>
            </w:pPr>
            <w:r w:rsidRPr="00AE54E4">
              <w:rPr>
                <w:rFonts w:cs="Arial"/>
              </w:rPr>
              <w:t>£</w:t>
            </w:r>
            <w:r w:rsidR="005A616A" w:rsidRPr="00AE54E4">
              <w:rPr>
                <w:rFonts w:cs="Arial"/>
              </w:rPr>
              <w:t>10</w:t>
            </w:r>
            <w:r w:rsidRPr="00AE54E4">
              <w:rPr>
                <w:rFonts w:cs="Arial"/>
              </w:rPr>
              <w:t xml:space="preserve"> million</w:t>
            </w:r>
          </w:p>
        </w:tc>
      </w:tr>
      <w:tr w:rsidR="00C97D21" w:rsidRPr="00AE54E4" w14:paraId="51EC06FA" w14:textId="77777777" w:rsidTr="005A616A">
        <w:trPr>
          <w:trHeight w:val="419"/>
        </w:trPr>
        <w:tc>
          <w:tcPr>
            <w:tcW w:w="6255" w:type="dxa"/>
            <w:vAlign w:val="center"/>
          </w:tcPr>
          <w:p w14:paraId="21A11664" w14:textId="10A82ED9" w:rsidR="00C97D21" w:rsidRPr="00AE54E4" w:rsidRDefault="00C97D21" w:rsidP="005A616A">
            <w:pPr>
              <w:rPr>
                <w:rFonts w:cs="Arial"/>
              </w:rPr>
            </w:pPr>
            <w:r w:rsidRPr="00AE54E4">
              <w:rPr>
                <w:rFonts w:cs="Arial"/>
              </w:rPr>
              <w:t>Employers Liability</w:t>
            </w:r>
          </w:p>
        </w:tc>
        <w:tc>
          <w:tcPr>
            <w:tcW w:w="2766" w:type="dxa"/>
            <w:vAlign w:val="center"/>
          </w:tcPr>
          <w:p w14:paraId="3BE4C1CF" w14:textId="13C94B20" w:rsidR="00C97D21" w:rsidRPr="00AE54E4" w:rsidRDefault="00C97D21" w:rsidP="005A616A">
            <w:pPr>
              <w:rPr>
                <w:rFonts w:cs="Arial"/>
              </w:rPr>
            </w:pPr>
            <w:r w:rsidRPr="00AE54E4">
              <w:rPr>
                <w:rFonts w:cs="Arial"/>
              </w:rPr>
              <w:t>£</w:t>
            </w:r>
            <w:r w:rsidR="005A616A" w:rsidRPr="00AE54E4">
              <w:rPr>
                <w:rFonts w:cs="Arial"/>
              </w:rPr>
              <w:t xml:space="preserve">5 </w:t>
            </w:r>
            <w:r w:rsidRPr="00AE54E4">
              <w:rPr>
                <w:rFonts w:cs="Arial"/>
              </w:rPr>
              <w:t>m</w:t>
            </w:r>
            <w:r w:rsidR="005A616A" w:rsidRPr="00AE54E4">
              <w:rPr>
                <w:rFonts w:cs="Arial"/>
              </w:rPr>
              <w:t>illion</w:t>
            </w:r>
          </w:p>
        </w:tc>
      </w:tr>
    </w:tbl>
    <w:p w14:paraId="3DA12FF1" w14:textId="77777777" w:rsidR="00F678BC" w:rsidRPr="00AE54E4" w:rsidRDefault="00F678BC" w:rsidP="00F678BC">
      <w:pPr>
        <w:rPr>
          <w:rFonts w:cs="Arial"/>
        </w:rPr>
      </w:pPr>
    </w:p>
    <w:p w14:paraId="6BB8F34F" w14:textId="18E90BAA" w:rsidR="00AE54E4" w:rsidRDefault="00AE54E4">
      <w:pPr>
        <w:rPr>
          <w:rFonts w:cs="Arial"/>
        </w:rPr>
      </w:pPr>
      <w:r>
        <w:rPr>
          <w:rFonts w:cs="Arial"/>
        </w:rPr>
        <w:br w:type="page"/>
      </w:r>
    </w:p>
    <w:p w14:paraId="3F714389" w14:textId="77777777" w:rsidR="00F678BC" w:rsidRPr="00AE54E4" w:rsidRDefault="00F678BC" w:rsidP="00F678BC">
      <w:pPr>
        <w:rPr>
          <w:rFonts w:cs="Arial"/>
        </w:rPr>
      </w:pPr>
    </w:p>
    <w:p w14:paraId="315B17D5" w14:textId="341DC8C9" w:rsidR="00F678BC" w:rsidRPr="00AE54E4" w:rsidRDefault="00F678BC" w:rsidP="00F678BC">
      <w:pPr>
        <w:rPr>
          <w:rFonts w:cs="Arial"/>
          <w:b/>
        </w:rPr>
      </w:pPr>
      <w:r w:rsidRPr="00AE54E4">
        <w:rPr>
          <w:rFonts w:cs="Arial"/>
          <w:b/>
        </w:rPr>
        <w:t>2.</w:t>
      </w:r>
      <w:r w:rsidR="005A616A" w:rsidRPr="00AE54E4">
        <w:rPr>
          <w:rFonts w:cs="Arial"/>
          <w:b/>
        </w:rPr>
        <w:t>7</w:t>
      </w:r>
      <w:r w:rsidRPr="00AE54E4">
        <w:rPr>
          <w:rFonts w:cs="Arial"/>
          <w:b/>
        </w:rPr>
        <w:tab/>
        <w:t xml:space="preserve">Purpose and Scope of this Invitation to </w:t>
      </w:r>
      <w:r w:rsidR="00B305E3" w:rsidRPr="00AE54E4">
        <w:rPr>
          <w:rFonts w:cs="Arial"/>
          <w:b/>
        </w:rPr>
        <w:t>Quote</w:t>
      </w:r>
      <w:r w:rsidRPr="00AE54E4">
        <w:rPr>
          <w:rFonts w:cs="Arial"/>
          <w:b/>
        </w:rPr>
        <w:t xml:space="preserve"> </w:t>
      </w:r>
    </w:p>
    <w:p w14:paraId="0EAE2338" w14:textId="77777777" w:rsidR="00F678BC" w:rsidRPr="00AE54E4" w:rsidRDefault="00F678BC" w:rsidP="00F678BC">
      <w:pPr>
        <w:rPr>
          <w:rFonts w:cs="Arial"/>
        </w:rPr>
      </w:pPr>
    </w:p>
    <w:p w14:paraId="4989D0D8" w14:textId="313A9332" w:rsidR="00F678BC" w:rsidRPr="00AE54E4" w:rsidRDefault="0027117F" w:rsidP="00F678BC">
      <w:pPr>
        <w:ind w:firstLine="720"/>
        <w:rPr>
          <w:rFonts w:cs="Arial"/>
        </w:rPr>
      </w:pPr>
      <w:r w:rsidRPr="00AE54E4">
        <w:rPr>
          <w:rFonts w:cs="Arial"/>
        </w:rPr>
        <w:t>This</w:t>
      </w:r>
      <w:r w:rsidR="003D1FEF" w:rsidRPr="00AE54E4">
        <w:rPr>
          <w:rFonts w:cs="Arial"/>
        </w:rPr>
        <w:t xml:space="preserve"> Invitation to Quote</w:t>
      </w:r>
      <w:r w:rsidRPr="00AE54E4">
        <w:rPr>
          <w:rFonts w:cs="Arial"/>
        </w:rPr>
        <w:t xml:space="preserve"> </w:t>
      </w:r>
      <w:r w:rsidR="003D1FEF" w:rsidRPr="00AE54E4">
        <w:rPr>
          <w:rFonts w:cs="Arial"/>
        </w:rPr>
        <w:t>(</w:t>
      </w:r>
      <w:r w:rsidRPr="00AE54E4">
        <w:rPr>
          <w:rFonts w:cs="Arial"/>
        </w:rPr>
        <w:t>ITQ</w:t>
      </w:r>
      <w:r w:rsidR="003D1FEF" w:rsidRPr="00AE54E4">
        <w:rPr>
          <w:rFonts w:cs="Arial"/>
        </w:rPr>
        <w:t>)</w:t>
      </w:r>
      <w:r w:rsidR="00F678BC" w:rsidRPr="00AE54E4">
        <w:rPr>
          <w:rFonts w:cs="Arial"/>
        </w:rPr>
        <w:t xml:space="preserve">: </w:t>
      </w:r>
    </w:p>
    <w:p w14:paraId="471DBC78" w14:textId="77777777" w:rsidR="00F678BC" w:rsidRPr="00AE54E4" w:rsidRDefault="00F678BC" w:rsidP="00F678BC">
      <w:pPr>
        <w:ind w:firstLine="720"/>
        <w:rPr>
          <w:rFonts w:cs="Arial"/>
        </w:rPr>
      </w:pPr>
    </w:p>
    <w:p w14:paraId="5AD424CE" w14:textId="5EC0EF99" w:rsidR="00F678BC" w:rsidRPr="00AE54E4" w:rsidRDefault="00F678BC" w:rsidP="006F2DC7">
      <w:pPr>
        <w:pStyle w:val="ListParagraph"/>
        <w:numPr>
          <w:ilvl w:val="0"/>
          <w:numId w:val="1"/>
        </w:numPr>
        <w:ind w:left="1434" w:hanging="357"/>
        <w:rPr>
          <w:rFonts w:cs="Arial"/>
        </w:rPr>
      </w:pPr>
      <w:r w:rsidRPr="00AE54E4">
        <w:rPr>
          <w:rFonts w:cs="Arial"/>
        </w:rPr>
        <w:t xml:space="preserve">Asks respondents to submit their </w:t>
      </w:r>
      <w:r w:rsidR="00B305E3" w:rsidRPr="00AE54E4">
        <w:rPr>
          <w:rFonts w:cs="Arial"/>
        </w:rPr>
        <w:t>Quotes</w:t>
      </w:r>
      <w:r w:rsidRPr="00AE54E4">
        <w:rPr>
          <w:rFonts w:cs="Arial"/>
        </w:rPr>
        <w:t xml:space="preserve"> in accordance with the instructions set </w:t>
      </w:r>
      <w:r w:rsidR="0027117F" w:rsidRPr="00AE54E4">
        <w:rPr>
          <w:rFonts w:cs="Arial"/>
        </w:rPr>
        <w:t>out in the remainder of this ITQ</w:t>
      </w:r>
      <w:r w:rsidRPr="00AE54E4">
        <w:rPr>
          <w:rFonts w:cs="Arial"/>
        </w:rPr>
        <w:t xml:space="preserve"> </w:t>
      </w:r>
    </w:p>
    <w:p w14:paraId="1794CB2E" w14:textId="77777777" w:rsidR="00F678BC" w:rsidRPr="00AE54E4" w:rsidRDefault="00F678BC" w:rsidP="00F678BC">
      <w:pPr>
        <w:ind w:left="1434" w:hanging="357"/>
        <w:rPr>
          <w:rFonts w:cs="Arial"/>
        </w:rPr>
      </w:pPr>
    </w:p>
    <w:p w14:paraId="42435D1B" w14:textId="77777777" w:rsidR="00F678BC" w:rsidRPr="00AE54E4" w:rsidRDefault="00F678BC" w:rsidP="006F2DC7">
      <w:pPr>
        <w:pStyle w:val="ListParagraph"/>
        <w:numPr>
          <w:ilvl w:val="0"/>
          <w:numId w:val="1"/>
        </w:numPr>
        <w:ind w:left="1434" w:hanging="357"/>
        <w:rPr>
          <w:rFonts w:cs="Arial"/>
        </w:rPr>
      </w:pPr>
      <w:r w:rsidRPr="00AE54E4">
        <w:rPr>
          <w:rFonts w:cs="Arial"/>
        </w:rPr>
        <w:t xml:space="preserve">Sets out the overall timetable and process for the procurement to respondents </w:t>
      </w:r>
    </w:p>
    <w:p w14:paraId="2D57B3E5" w14:textId="77777777" w:rsidR="00F678BC" w:rsidRPr="00AE54E4" w:rsidRDefault="00F678BC" w:rsidP="00F678BC">
      <w:pPr>
        <w:ind w:left="1434" w:hanging="357"/>
        <w:rPr>
          <w:rFonts w:cs="Arial"/>
        </w:rPr>
      </w:pPr>
    </w:p>
    <w:p w14:paraId="189D1EED" w14:textId="6E7248F2" w:rsidR="00F678BC" w:rsidRPr="00AE54E4" w:rsidRDefault="00F678BC" w:rsidP="006F2DC7">
      <w:pPr>
        <w:pStyle w:val="ListParagraph"/>
        <w:numPr>
          <w:ilvl w:val="0"/>
          <w:numId w:val="1"/>
        </w:numPr>
        <w:ind w:left="1434" w:hanging="357"/>
        <w:rPr>
          <w:rFonts w:cs="Arial"/>
        </w:rPr>
      </w:pPr>
      <w:r w:rsidRPr="00AE54E4">
        <w:rPr>
          <w:rFonts w:cs="Arial"/>
        </w:rPr>
        <w:t xml:space="preserve">Provides respondents with sufficient information to enable them to submit a compliant </w:t>
      </w:r>
      <w:r w:rsidR="00B305E3" w:rsidRPr="00AE54E4">
        <w:rPr>
          <w:rFonts w:cs="Arial"/>
        </w:rPr>
        <w:t>Quote</w:t>
      </w:r>
      <w:r w:rsidRPr="00AE54E4">
        <w:rPr>
          <w:rFonts w:cs="Arial"/>
        </w:rPr>
        <w:t xml:space="preserve"> (including providing templates where relevant) </w:t>
      </w:r>
    </w:p>
    <w:p w14:paraId="5EB82F8E" w14:textId="77777777" w:rsidR="00F678BC" w:rsidRPr="00AE54E4" w:rsidRDefault="00F678BC" w:rsidP="00F678BC">
      <w:pPr>
        <w:ind w:left="1434" w:hanging="357"/>
        <w:rPr>
          <w:rFonts w:cs="Arial"/>
        </w:rPr>
      </w:pPr>
    </w:p>
    <w:p w14:paraId="5B054309" w14:textId="31656141" w:rsidR="00F678BC" w:rsidRPr="00AE54E4" w:rsidRDefault="00F678BC" w:rsidP="006F2DC7">
      <w:pPr>
        <w:pStyle w:val="ListParagraph"/>
        <w:numPr>
          <w:ilvl w:val="0"/>
          <w:numId w:val="1"/>
        </w:numPr>
        <w:ind w:left="1434" w:hanging="357"/>
        <w:rPr>
          <w:rFonts w:cs="Arial"/>
        </w:rPr>
      </w:pPr>
      <w:r w:rsidRPr="00AE54E4">
        <w:rPr>
          <w:rFonts w:cs="Arial"/>
        </w:rPr>
        <w:t xml:space="preserve">Sets out the Award Criteria and the Quotation Evaluation Model that will be used to evaluate the </w:t>
      </w:r>
      <w:r w:rsidR="00B305E3" w:rsidRPr="00AE54E4">
        <w:rPr>
          <w:rFonts w:cs="Arial"/>
        </w:rPr>
        <w:t>Quotes</w:t>
      </w:r>
      <w:r w:rsidRPr="00AE54E4">
        <w:rPr>
          <w:rFonts w:cs="Arial"/>
        </w:rPr>
        <w:t xml:space="preserve"> </w:t>
      </w:r>
    </w:p>
    <w:p w14:paraId="73E9920C" w14:textId="77777777" w:rsidR="00F678BC" w:rsidRPr="00AE54E4" w:rsidRDefault="00F678BC" w:rsidP="00F678BC">
      <w:pPr>
        <w:ind w:left="1434" w:hanging="357"/>
        <w:rPr>
          <w:rFonts w:cs="Arial"/>
        </w:rPr>
      </w:pPr>
    </w:p>
    <w:p w14:paraId="6294D822" w14:textId="77777777" w:rsidR="00F678BC" w:rsidRPr="00AE54E4" w:rsidRDefault="00F678BC" w:rsidP="006F2DC7">
      <w:pPr>
        <w:pStyle w:val="ListParagraph"/>
        <w:numPr>
          <w:ilvl w:val="0"/>
          <w:numId w:val="1"/>
        </w:numPr>
        <w:ind w:left="1434" w:hanging="357"/>
        <w:rPr>
          <w:rFonts w:cs="Arial"/>
        </w:rPr>
      </w:pPr>
      <w:r w:rsidRPr="00AE54E4">
        <w:rPr>
          <w:rFonts w:cs="Arial"/>
        </w:rPr>
        <w:t xml:space="preserve">Explains the administrative </w:t>
      </w:r>
      <w:r w:rsidR="0027117F" w:rsidRPr="00AE54E4">
        <w:rPr>
          <w:rFonts w:cs="Arial"/>
        </w:rPr>
        <w:t>arrangements for the receipt of Quotes</w:t>
      </w:r>
      <w:r w:rsidRPr="00AE54E4">
        <w:rPr>
          <w:rFonts w:cs="Arial"/>
        </w:rPr>
        <w:t xml:space="preserve"> </w:t>
      </w:r>
    </w:p>
    <w:p w14:paraId="03348146" w14:textId="0498274F" w:rsidR="00F678BC" w:rsidRPr="00AE54E4" w:rsidRDefault="00F678BC" w:rsidP="00F678BC">
      <w:pPr>
        <w:ind w:left="720"/>
        <w:rPr>
          <w:rFonts w:cs="Arial"/>
        </w:rPr>
      </w:pPr>
    </w:p>
    <w:p w14:paraId="44146949" w14:textId="77777777" w:rsidR="00415E7B" w:rsidRPr="00AE54E4" w:rsidRDefault="00415E7B" w:rsidP="00F678BC">
      <w:pPr>
        <w:rPr>
          <w:rFonts w:cs="Arial"/>
        </w:rPr>
      </w:pPr>
    </w:p>
    <w:p w14:paraId="68A880AC" w14:textId="6E239B8A" w:rsidR="00F678BC" w:rsidRPr="00AE54E4" w:rsidRDefault="00F678BC" w:rsidP="00F678BC">
      <w:pPr>
        <w:rPr>
          <w:rFonts w:cs="Arial"/>
          <w:b/>
        </w:rPr>
      </w:pPr>
      <w:r w:rsidRPr="00AE54E4">
        <w:rPr>
          <w:rFonts w:cs="Arial"/>
          <w:b/>
        </w:rPr>
        <w:t>2.</w:t>
      </w:r>
      <w:r w:rsidR="005A616A" w:rsidRPr="00AE54E4">
        <w:rPr>
          <w:rFonts w:cs="Arial"/>
          <w:b/>
        </w:rPr>
        <w:t>8</w:t>
      </w:r>
      <w:r w:rsidRPr="00AE54E4">
        <w:rPr>
          <w:rFonts w:cs="Arial"/>
          <w:b/>
        </w:rPr>
        <w:tab/>
        <w:t>Clarific</w:t>
      </w:r>
      <w:r w:rsidR="0027117F" w:rsidRPr="00AE54E4">
        <w:rPr>
          <w:rFonts w:cs="Arial"/>
          <w:b/>
        </w:rPr>
        <w:t>ations about the Services or ITQ</w:t>
      </w:r>
      <w:r w:rsidRPr="00AE54E4">
        <w:rPr>
          <w:rFonts w:cs="Arial"/>
          <w:b/>
        </w:rPr>
        <w:t xml:space="preserve"> </w:t>
      </w:r>
    </w:p>
    <w:p w14:paraId="235D2C04" w14:textId="77777777" w:rsidR="00F678BC" w:rsidRPr="00AE54E4" w:rsidRDefault="00F678BC" w:rsidP="00F678BC">
      <w:pPr>
        <w:rPr>
          <w:rFonts w:cs="Arial"/>
        </w:rPr>
      </w:pPr>
    </w:p>
    <w:p w14:paraId="486E4DA6" w14:textId="2FB92B5A" w:rsidR="00874FCE" w:rsidRPr="00AE54E4" w:rsidRDefault="00F678BC" w:rsidP="00874FCE">
      <w:pPr>
        <w:ind w:left="720"/>
        <w:rPr>
          <w:rFonts w:cs="Arial"/>
        </w:rPr>
      </w:pPr>
      <w:r w:rsidRPr="00AE54E4">
        <w:rPr>
          <w:rFonts w:cs="Arial"/>
        </w:rPr>
        <w:t>Any cla</w:t>
      </w:r>
      <w:r w:rsidR="0027117F" w:rsidRPr="00AE54E4">
        <w:rPr>
          <w:rFonts w:cs="Arial"/>
        </w:rPr>
        <w:t>rifications relating to this ITQ</w:t>
      </w:r>
      <w:r w:rsidRPr="00AE54E4">
        <w:rPr>
          <w:rFonts w:cs="Arial"/>
        </w:rPr>
        <w:t xml:space="preserve"> must be submitted to the procuring officer </w:t>
      </w:r>
      <w:r w:rsidR="00094ED8" w:rsidRPr="00AE54E4">
        <w:rPr>
          <w:rFonts w:cs="Arial"/>
        </w:rPr>
        <w:t>Jayson Grygiel</w:t>
      </w:r>
      <w:r w:rsidR="0040751D" w:rsidRPr="00AE54E4">
        <w:rPr>
          <w:rFonts w:cs="Arial"/>
        </w:rPr>
        <w:t>, Manager of Planning Policy at Gosport Borough Council,</w:t>
      </w:r>
      <w:r w:rsidRPr="00AE54E4">
        <w:rPr>
          <w:rFonts w:cs="Arial"/>
        </w:rPr>
        <w:t xml:space="preserve"> via the Proactis portal. </w:t>
      </w:r>
    </w:p>
    <w:p w14:paraId="4AA5BBFC" w14:textId="77777777" w:rsidR="00874FCE" w:rsidRPr="00AE54E4" w:rsidRDefault="00874FCE" w:rsidP="00874FCE">
      <w:pPr>
        <w:rPr>
          <w:rFonts w:cs="Arial"/>
        </w:rPr>
      </w:pPr>
    </w:p>
    <w:p w14:paraId="532994DA" w14:textId="77777777" w:rsidR="00874FCE" w:rsidRPr="00AE54E4" w:rsidRDefault="00F678BC" w:rsidP="00874FCE">
      <w:pPr>
        <w:ind w:left="720"/>
        <w:rPr>
          <w:rFonts w:cs="Arial"/>
        </w:rPr>
      </w:pPr>
      <w:r w:rsidRPr="00AE54E4">
        <w:rPr>
          <w:rFonts w:cs="Arial"/>
        </w:rPr>
        <w:t xml:space="preserve">The Council will respond to all reasonable clarifications as soon as possible via Proactis. If a respondent wishes the Council to treat a clarification as confidential and not issue the response to all respondents, it must state this when submitting the clarification. If, in the opinion of the Council, the clarification is not confidential, the Council will inform the respondent and it will have an opportunity to withdraw it. If the clarification is not withdrawn, the response will be issued to all respondents. </w:t>
      </w:r>
    </w:p>
    <w:p w14:paraId="7D405505" w14:textId="77777777" w:rsidR="00874FCE" w:rsidRPr="00AE54E4" w:rsidRDefault="00874FCE" w:rsidP="00874FCE">
      <w:pPr>
        <w:ind w:left="720"/>
        <w:rPr>
          <w:rFonts w:cs="Arial"/>
        </w:rPr>
      </w:pPr>
    </w:p>
    <w:p w14:paraId="280A9B40" w14:textId="77777777" w:rsidR="00874FCE" w:rsidRPr="00AE54E4" w:rsidRDefault="00F678BC" w:rsidP="00874FCE">
      <w:pPr>
        <w:ind w:left="720"/>
        <w:rPr>
          <w:rFonts w:cs="Arial"/>
        </w:rPr>
      </w:pPr>
      <w:r w:rsidRPr="00AE54E4">
        <w:rPr>
          <w:rFonts w:cs="Arial"/>
        </w:rPr>
        <w:t>The deadline for receipt of clarifications relating to the Services or this IT</w:t>
      </w:r>
      <w:r w:rsidR="0027117F" w:rsidRPr="00AE54E4">
        <w:rPr>
          <w:rFonts w:cs="Arial"/>
        </w:rPr>
        <w:t>Q</w:t>
      </w:r>
      <w:r w:rsidRPr="00AE54E4">
        <w:rPr>
          <w:rFonts w:cs="Arial"/>
        </w:rPr>
        <w:t xml:space="preserve"> is set out at </w:t>
      </w:r>
      <w:r w:rsidR="00AF2EAC" w:rsidRPr="00AE54E4">
        <w:rPr>
          <w:rFonts w:cs="Arial"/>
        </w:rPr>
        <w:t>3</w:t>
      </w:r>
      <w:r w:rsidRPr="00AE54E4">
        <w:rPr>
          <w:rFonts w:cs="Arial"/>
        </w:rPr>
        <w:t>.1</w:t>
      </w:r>
      <w:r w:rsidR="00AF2EAC" w:rsidRPr="00AE54E4">
        <w:rPr>
          <w:rFonts w:cs="Arial"/>
        </w:rPr>
        <w:t>-3.2</w:t>
      </w:r>
      <w:r w:rsidRPr="00AE54E4">
        <w:rPr>
          <w:rFonts w:cs="Arial"/>
        </w:rPr>
        <w:t xml:space="preserve"> below. </w:t>
      </w:r>
    </w:p>
    <w:p w14:paraId="39F2B899" w14:textId="77777777" w:rsidR="00874FCE" w:rsidRPr="00AE54E4" w:rsidRDefault="00874FCE" w:rsidP="00874FCE">
      <w:pPr>
        <w:ind w:left="720"/>
        <w:rPr>
          <w:rFonts w:cs="Arial"/>
        </w:rPr>
      </w:pPr>
    </w:p>
    <w:p w14:paraId="2FA090F6" w14:textId="6CA929DA" w:rsidR="00874FCE" w:rsidRPr="00AE54E4" w:rsidRDefault="00F678BC" w:rsidP="00874FCE">
      <w:pPr>
        <w:ind w:left="720"/>
        <w:rPr>
          <w:rFonts w:cs="Arial"/>
        </w:rPr>
      </w:pPr>
      <w:r w:rsidRPr="00AE54E4">
        <w:rPr>
          <w:rFonts w:cs="Arial"/>
        </w:rPr>
        <w:t>Respondents are advised not to rely on communications from the Council i</w:t>
      </w:r>
      <w:r w:rsidR="0027117F" w:rsidRPr="00AE54E4">
        <w:rPr>
          <w:rFonts w:cs="Arial"/>
        </w:rPr>
        <w:t>n respect of the ITQ</w:t>
      </w:r>
      <w:r w:rsidRPr="00AE54E4">
        <w:rPr>
          <w:rFonts w:cs="Arial"/>
        </w:rPr>
        <w:t xml:space="preserve"> unless they are made in accordance with these instructions. </w:t>
      </w:r>
    </w:p>
    <w:p w14:paraId="3DE5FCDE" w14:textId="77777777" w:rsidR="00874FCE" w:rsidRPr="00AE54E4" w:rsidRDefault="00874FCE" w:rsidP="00874FCE">
      <w:pPr>
        <w:ind w:left="720"/>
        <w:rPr>
          <w:rFonts w:cs="Arial"/>
        </w:rPr>
      </w:pPr>
    </w:p>
    <w:p w14:paraId="3B229FC6" w14:textId="49CE5C06" w:rsidR="00F678BC" w:rsidRPr="00AE54E4" w:rsidRDefault="00F678BC" w:rsidP="00874FCE">
      <w:pPr>
        <w:ind w:left="720"/>
        <w:rPr>
          <w:rFonts w:cs="Arial"/>
        </w:rPr>
      </w:pPr>
      <w:r w:rsidRPr="00AE54E4">
        <w:rPr>
          <w:rFonts w:cs="Arial"/>
        </w:rPr>
        <w:t xml:space="preserve">The Council reserves the right (but is not obliged) to seek clarification of any aspect of a Respondent’s </w:t>
      </w:r>
      <w:r w:rsidR="00B305E3" w:rsidRPr="00AE54E4">
        <w:rPr>
          <w:rFonts w:cs="Arial"/>
        </w:rPr>
        <w:t>quote</w:t>
      </w:r>
      <w:r w:rsidRPr="00AE54E4">
        <w:rPr>
          <w:rFonts w:cs="Arial"/>
        </w:rPr>
        <w:t xml:space="preserve"> during the evaluation phase where necessary for the purposes of carrying out a fair evaluation. Respondents are asked to respond to such requests promptly. Vague or ambiguous answers are likely to score poorly or render the </w:t>
      </w:r>
      <w:r w:rsidR="00B305E3" w:rsidRPr="00AE54E4">
        <w:rPr>
          <w:rFonts w:cs="Arial"/>
        </w:rPr>
        <w:t>quote</w:t>
      </w:r>
      <w:r w:rsidRPr="00AE54E4">
        <w:rPr>
          <w:rFonts w:cs="Arial"/>
        </w:rPr>
        <w:t xml:space="preserve"> non-compliant.</w:t>
      </w:r>
    </w:p>
    <w:p w14:paraId="3A584194" w14:textId="77777777" w:rsidR="00874FCE" w:rsidRPr="00AE54E4" w:rsidRDefault="00874FCE" w:rsidP="00874FCE">
      <w:pPr>
        <w:ind w:left="720"/>
        <w:rPr>
          <w:rFonts w:cs="Arial"/>
        </w:rPr>
      </w:pPr>
    </w:p>
    <w:p w14:paraId="66D88BA7" w14:textId="77777777" w:rsidR="00874FCE" w:rsidRPr="00AE54E4" w:rsidRDefault="00874FCE" w:rsidP="00874FCE">
      <w:pPr>
        <w:ind w:left="720"/>
        <w:rPr>
          <w:rFonts w:cs="Arial"/>
        </w:rPr>
      </w:pPr>
    </w:p>
    <w:p w14:paraId="1C726B0C" w14:textId="77777777" w:rsidR="0028507F" w:rsidRPr="00AE54E4" w:rsidRDefault="0028507F" w:rsidP="00874FCE">
      <w:pPr>
        <w:ind w:left="720"/>
        <w:rPr>
          <w:rFonts w:cs="Arial"/>
        </w:rPr>
      </w:pPr>
    </w:p>
    <w:p w14:paraId="3876A2A2" w14:textId="03EDB0E6" w:rsidR="00874FCE" w:rsidRPr="00AE54E4" w:rsidRDefault="00874FCE" w:rsidP="006F2DC7">
      <w:pPr>
        <w:pStyle w:val="Heading1"/>
        <w:numPr>
          <w:ilvl w:val="0"/>
          <w:numId w:val="21"/>
        </w:numPr>
        <w:rPr>
          <w:lang w:val="en-US"/>
        </w:rPr>
      </w:pPr>
      <w:bookmarkStart w:id="3" w:name="_Toc125379457"/>
      <w:r w:rsidRPr="00AE54E4">
        <w:rPr>
          <w:lang w:val="en-US"/>
        </w:rPr>
        <w:t>TIMETABLE</w:t>
      </w:r>
      <w:bookmarkEnd w:id="3"/>
    </w:p>
    <w:p w14:paraId="3A49E14A" w14:textId="77777777" w:rsidR="00874FCE" w:rsidRPr="00AE54E4" w:rsidRDefault="00874FCE" w:rsidP="00874FCE">
      <w:pPr>
        <w:rPr>
          <w:rFonts w:cs="Arial"/>
          <w:b/>
          <w:szCs w:val="24"/>
          <w:u w:val="single"/>
          <w:lang w:val="en-US"/>
        </w:rPr>
      </w:pPr>
    </w:p>
    <w:p w14:paraId="3F54B5D1" w14:textId="77777777" w:rsidR="00874FCE" w:rsidRPr="00AE54E4" w:rsidRDefault="00874FCE" w:rsidP="00874FCE">
      <w:pPr>
        <w:rPr>
          <w:rFonts w:cs="Arial"/>
          <w:b/>
        </w:rPr>
      </w:pPr>
      <w:r w:rsidRPr="00AE54E4">
        <w:rPr>
          <w:rFonts w:cs="Arial"/>
          <w:b/>
        </w:rPr>
        <w:t>3.1</w:t>
      </w:r>
      <w:r w:rsidRPr="00AE54E4">
        <w:rPr>
          <w:rFonts w:cs="Arial"/>
          <w:b/>
        </w:rPr>
        <w:tab/>
        <w:t xml:space="preserve">Key Dates </w:t>
      </w:r>
    </w:p>
    <w:p w14:paraId="2FCFD5EA" w14:textId="77777777" w:rsidR="00874FCE" w:rsidRPr="00AE54E4" w:rsidRDefault="00874FCE" w:rsidP="00874FCE">
      <w:pPr>
        <w:rPr>
          <w:rFonts w:cs="Arial"/>
        </w:rPr>
      </w:pPr>
    </w:p>
    <w:p w14:paraId="534E3452" w14:textId="77777777" w:rsidR="00874FCE" w:rsidRPr="00AE54E4" w:rsidRDefault="00874FCE" w:rsidP="00874FCE">
      <w:pPr>
        <w:ind w:left="720" w:hanging="720"/>
        <w:rPr>
          <w:rFonts w:cs="Arial"/>
        </w:rPr>
      </w:pPr>
      <w:r w:rsidRPr="00AE54E4">
        <w:rPr>
          <w:rFonts w:cs="Arial"/>
        </w:rPr>
        <w:t xml:space="preserve"> </w:t>
      </w:r>
      <w:r w:rsidRPr="00AE54E4">
        <w:rPr>
          <w:rFonts w:cs="Arial"/>
        </w:rPr>
        <w:tab/>
        <w:t xml:space="preserve">This procurement will follow a clear, structured and transparent process to ensure a fair and level playing field is maintained at all times, and that all respondents are treated equally. </w:t>
      </w:r>
    </w:p>
    <w:p w14:paraId="7A39FE1C" w14:textId="77777777" w:rsidR="00874FCE" w:rsidRPr="00AE54E4" w:rsidRDefault="00874FCE" w:rsidP="00874FCE">
      <w:pPr>
        <w:ind w:left="720" w:hanging="720"/>
        <w:rPr>
          <w:rFonts w:cs="Arial"/>
        </w:rPr>
      </w:pPr>
    </w:p>
    <w:p w14:paraId="1DD66D96" w14:textId="77777777" w:rsidR="00874FCE" w:rsidRPr="00AE54E4" w:rsidRDefault="00874FCE" w:rsidP="00874FCE">
      <w:pPr>
        <w:ind w:left="720" w:hanging="720"/>
        <w:rPr>
          <w:rFonts w:cs="Arial"/>
        </w:rPr>
      </w:pPr>
      <w:r w:rsidRPr="00AE54E4">
        <w:rPr>
          <w:rFonts w:cs="Arial"/>
        </w:rPr>
        <w:t xml:space="preserve"> </w:t>
      </w:r>
      <w:r w:rsidRPr="00AE54E4">
        <w:rPr>
          <w:rFonts w:cs="Arial"/>
        </w:rPr>
        <w:tab/>
        <w:t xml:space="preserve">The key dates for this procurement (Timetable) are currently anticipated to be as follows: </w:t>
      </w:r>
    </w:p>
    <w:p w14:paraId="4636DF3F" w14:textId="77777777" w:rsidR="00874FCE" w:rsidRPr="00AE54E4" w:rsidRDefault="00874FCE" w:rsidP="00874FCE">
      <w:pPr>
        <w:ind w:left="720" w:hanging="720"/>
        <w:rPr>
          <w:rFonts w:cs="Arial"/>
        </w:rPr>
      </w:pPr>
      <w:r w:rsidRPr="00AE54E4">
        <w:rPr>
          <w:rFonts w:cs="Arial"/>
        </w:rPr>
        <w:tab/>
      </w:r>
    </w:p>
    <w:tbl>
      <w:tblPr>
        <w:tblStyle w:val="TableGrid"/>
        <w:tblW w:w="0" w:type="auto"/>
        <w:tblInd w:w="720" w:type="dxa"/>
        <w:tblLook w:val="04A0" w:firstRow="1" w:lastRow="0" w:firstColumn="1" w:lastColumn="0" w:noHBand="0" w:noVBand="1"/>
      </w:tblPr>
      <w:tblGrid>
        <w:gridCol w:w="4804"/>
        <w:gridCol w:w="3492"/>
      </w:tblGrid>
      <w:tr w:rsidR="00874FCE" w:rsidRPr="00AE54E4" w14:paraId="4BAE6024" w14:textId="77777777" w:rsidTr="00AF2EAC">
        <w:tc>
          <w:tcPr>
            <w:tcW w:w="4804" w:type="dxa"/>
          </w:tcPr>
          <w:p w14:paraId="421F3FDD" w14:textId="77777777" w:rsidR="00874FCE" w:rsidRPr="00AE54E4" w:rsidRDefault="00F16304" w:rsidP="00874FCE">
            <w:pPr>
              <w:rPr>
                <w:rFonts w:cs="Arial"/>
                <w:b/>
              </w:rPr>
            </w:pPr>
            <w:r w:rsidRPr="00AE54E4">
              <w:rPr>
                <w:rFonts w:cs="Arial"/>
                <w:b/>
              </w:rPr>
              <w:t>Event</w:t>
            </w:r>
          </w:p>
        </w:tc>
        <w:tc>
          <w:tcPr>
            <w:tcW w:w="3492" w:type="dxa"/>
          </w:tcPr>
          <w:p w14:paraId="43E1E22B" w14:textId="77777777" w:rsidR="00874FCE" w:rsidRPr="00AE54E4" w:rsidRDefault="00F16304" w:rsidP="00874FCE">
            <w:pPr>
              <w:rPr>
                <w:rFonts w:cs="Arial"/>
                <w:b/>
              </w:rPr>
            </w:pPr>
            <w:r w:rsidRPr="00AE54E4">
              <w:rPr>
                <w:rFonts w:cs="Arial"/>
                <w:b/>
              </w:rPr>
              <w:t>Date</w:t>
            </w:r>
          </w:p>
        </w:tc>
      </w:tr>
      <w:tr w:rsidR="00874FCE" w:rsidRPr="00AE54E4" w14:paraId="4DF128A8" w14:textId="77777777" w:rsidTr="00AF2EAC">
        <w:tc>
          <w:tcPr>
            <w:tcW w:w="4804" w:type="dxa"/>
          </w:tcPr>
          <w:p w14:paraId="7BAB1AB8" w14:textId="77777777" w:rsidR="00874FCE" w:rsidRPr="00AE54E4" w:rsidRDefault="00874FCE" w:rsidP="00874FCE">
            <w:pPr>
              <w:rPr>
                <w:rFonts w:cs="Arial"/>
              </w:rPr>
            </w:pPr>
          </w:p>
        </w:tc>
        <w:tc>
          <w:tcPr>
            <w:tcW w:w="3492" w:type="dxa"/>
          </w:tcPr>
          <w:p w14:paraId="6E2CF648" w14:textId="77777777" w:rsidR="00874FCE" w:rsidRPr="00AE54E4" w:rsidRDefault="00874FCE" w:rsidP="00874FCE">
            <w:pPr>
              <w:rPr>
                <w:rFonts w:cs="Arial"/>
              </w:rPr>
            </w:pPr>
          </w:p>
        </w:tc>
      </w:tr>
      <w:tr w:rsidR="00874FCE" w:rsidRPr="00AE54E4" w14:paraId="52B69019" w14:textId="77777777" w:rsidTr="00E36C1A">
        <w:tc>
          <w:tcPr>
            <w:tcW w:w="4804" w:type="dxa"/>
            <w:shd w:val="clear" w:color="auto" w:fill="auto"/>
          </w:tcPr>
          <w:p w14:paraId="37B1A2A7" w14:textId="77777777" w:rsidR="00874FCE" w:rsidRPr="00E36C1A" w:rsidRDefault="00AF2EAC" w:rsidP="00874FCE">
            <w:pPr>
              <w:rPr>
                <w:rFonts w:cs="Arial"/>
              </w:rPr>
            </w:pPr>
            <w:r w:rsidRPr="00E36C1A">
              <w:rPr>
                <w:rFonts w:cs="Arial"/>
              </w:rPr>
              <w:t>Issue Invitation to Quote</w:t>
            </w:r>
          </w:p>
        </w:tc>
        <w:tc>
          <w:tcPr>
            <w:tcW w:w="3492" w:type="dxa"/>
            <w:shd w:val="clear" w:color="auto" w:fill="auto"/>
          </w:tcPr>
          <w:p w14:paraId="34B9B08B" w14:textId="30604E99" w:rsidR="00874FCE" w:rsidRPr="00E36C1A" w:rsidRDefault="00E36C1A" w:rsidP="00874FCE">
            <w:pPr>
              <w:rPr>
                <w:rFonts w:cs="Arial"/>
              </w:rPr>
            </w:pPr>
            <w:r w:rsidRPr="00E36C1A">
              <w:rPr>
                <w:rFonts w:cs="Arial"/>
              </w:rPr>
              <w:t>26</w:t>
            </w:r>
            <w:r w:rsidR="00473328" w:rsidRPr="00E36C1A">
              <w:rPr>
                <w:rFonts w:cs="Arial"/>
              </w:rPr>
              <w:t>/1/2023</w:t>
            </w:r>
          </w:p>
        </w:tc>
      </w:tr>
      <w:tr w:rsidR="00874FCE" w:rsidRPr="00AE54E4" w14:paraId="35AFFCC1" w14:textId="77777777" w:rsidTr="00E36C1A">
        <w:tc>
          <w:tcPr>
            <w:tcW w:w="4804" w:type="dxa"/>
            <w:shd w:val="clear" w:color="auto" w:fill="auto"/>
          </w:tcPr>
          <w:p w14:paraId="40C2F37C" w14:textId="4914CB6D" w:rsidR="00F03D2D" w:rsidRPr="00E36C1A" w:rsidRDefault="00AF2EAC" w:rsidP="00874FCE">
            <w:pPr>
              <w:rPr>
                <w:rFonts w:cs="Arial"/>
              </w:rPr>
            </w:pPr>
            <w:r w:rsidRPr="00E36C1A">
              <w:rPr>
                <w:rFonts w:cs="Arial"/>
              </w:rPr>
              <w:t>Deadline for receipt of clarifications</w:t>
            </w:r>
          </w:p>
        </w:tc>
        <w:tc>
          <w:tcPr>
            <w:tcW w:w="3492" w:type="dxa"/>
            <w:shd w:val="clear" w:color="auto" w:fill="auto"/>
          </w:tcPr>
          <w:p w14:paraId="1203C52D" w14:textId="2EF7DDFB" w:rsidR="00874FCE" w:rsidRPr="00E36C1A" w:rsidRDefault="00E36C1A" w:rsidP="00874FCE">
            <w:pPr>
              <w:rPr>
                <w:rFonts w:cs="Arial"/>
              </w:rPr>
            </w:pPr>
            <w:r w:rsidRPr="00E36C1A">
              <w:rPr>
                <w:rFonts w:cs="Arial"/>
              </w:rPr>
              <w:t>9/2</w:t>
            </w:r>
            <w:r w:rsidR="00F03D2D" w:rsidRPr="00E36C1A">
              <w:rPr>
                <w:rFonts w:cs="Arial"/>
              </w:rPr>
              <w:t>/2023</w:t>
            </w:r>
          </w:p>
        </w:tc>
      </w:tr>
      <w:tr w:rsidR="00874FCE" w:rsidRPr="00AE54E4" w14:paraId="1195C14D" w14:textId="77777777" w:rsidTr="00E36C1A">
        <w:tc>
          <w:tcPr>
            <w:tcW w:w="4804" w:type="dxa"/>
            <w:shd w:val="clear" w:color="auto" w:fill="auto"/>
          </w:tcPr>
          <w:p w14:paraId="3B8054CD" w14:textId="77777777" w:rsidR="00874FCE" w:rsidRPr="00E36C1A" w:rsidRDefault="00AF2EAC" w:rsidP="00874FCE">
            <w:pPr>
              <w:rPr>
                <w:rFonts w:cs="Arial"/>
              </w:rPr>
            </w:pPr>
            <w:r w:rsidRPr="00E36C1A">
              <w:rPr>
                <w:rFonts w:cs="Arial"/>
              </w:rPr>
              <w:t>Deadline for receipt of Quotes</w:t>
            </w:r>
          </w:p>
        </w:tc>
        <w:tc>
          <w:tcPr>
            <w:tcW w:w="3492" w:type="dxa"/>
            <w:shd w:val="clear" w:color="auto" w:fill="auto"/>
          </w:tcPr>
          <w:p w14:paraId="45420A66" w14:textId="25798C58" w:rsidR="00874FCE" w:rsidRPr="00E36C1A" w:rsidRDefault="00E36C1A" w:rsidP="00874FCE">
            <w:pPr>
              <w:rPr>
                <w:rFonts w:cs="Arial"/>
              </w:rPr>
            </w:pPr>
            <w:r w:rsidRPr="00E36C1A">
              <w:rPr>
                <w:rFonts w:cs="Arial"/>
              </w:rPr>
              <w:t>24</w:t>
            </w:r>
            <w:r w:rsidR="00473328" w:rsidRPr="00E36C1A">
              <w:rPr>
                <w:rFonts w:cs="Arial"/>
              </w:rPr>
              <w:t>/2/2023</w:t>
            </w:r>
            <w:r w:rsidR="00F03D2D" w:rsidRPr="00E36C1A">
              <w:rPr>
                <w:rFonts w:cs="Arial"/>
              </w:rPr>
              <w:t xml:space="preserve"> </w:t>
            </w:r>
            <w:r w:rsidR="009949BA" w:rsidRPr="00E36C1A">
              <w:rPr>
                <w:rFonts w:cs="Arial"/>
              </w:rPr>
              <w:t>noon</w:t>
            </w:r>
          </w:p>
        </w:tc>
      </w:tr>
      <w:tr w:rsidR="00874FCE" w:rsidRPr="00AE54E4" w14:paraId="165CF258" w14:textId="77777777" w:rsidTr="00E36C1A">
        <w:tc>
          <w:tcPr>
            <w:tcW w:w="4804" w:type="dxa"/>
            <w:shd w:val="clear" w:color="auto" w:fill="auto"/>
          </w:tcPr>
          <w:p w14:paraId="39255D12" w14:textId="77777777" w:rsidR="00874FCE" w:rsidRPr="00E36C1A" w:rsidRDefault="00AF2EAC" w:rsidP="00874FCE">
            <w:pPr>
              <w:rPr>
                <w:rFonts w:cs="Arial"/>
              </w:rPr>
            </w:pPr>
            <w:r w:rsidRPr="00E36C1A">
              <w:rPr>
                <w:rFonts w:cs="Arial"/>
              </w:rPr>
              <w:t>Evaluation of Quotes</w:t>
            </w:r>
          </w:p>
        </w:tc>
        <w:tc>
          <w:tcPr>
            <w:tcW w:w="3492" w:type="dxa"/>
            <w:shd w:val="clear" w:color="auto" w:fill="auto"/>
          </w:tcPr>
          <w:p w14:paraId="69705AEC" w14:textId="614325CE" w:rsidR="00874FCE" w:rsidRPr="00E36C1A" w:rsidRDefault="00E36C1A" w:rsidP="00874FCE">
            <w:pPr>
              <w:rPr>
                <w:rFonts w:cs="Arial"/>
              </w:rPr>
            </w:pPr>
            <w:r w:rsidRPr="00E36C1A">
              <w:rPr>
                <w:rFonts w:cs="Arial"/>
              </w:rPr>
              <w:t>27/2/2023 to 9/3</w:t>
            </w:r>
            <w:r w:rsidR="0071488E" w:rsidRPr="00E36C1A">
              <w:rPr>
                <w:rFonts w:cs="Arial"/>
              </w:rPr>
              <w:t>/2023</w:t>
            </w:r>
          </w:p>
        </w:tc>
      </w:tr>
      <w:tr w:rsidR="00874FCE" w:rsidRPr="00AE54E4" w14:paraId="168819AD" w14:textId="77777777" w:rsidTr="00E36C1A">
        <w:tc>
          <w:tcPr>
            <w:tcW w:w="4804" w:type="dxa"/>
            <w:shd w:val="clear" w:color="auto" w:fill="auto"/>
          </w:tcPr>
          <w:p w14:paraId="0F8B92E3" w14:textId="77777777" w:rsidR="00874FCE" w:rsidRPr="00E36C1A" w:rsidRDefault="00AF2EAC" w:rsidP="00874FCE">
            <w:pPr>
              <w:rPr>
                <w:rFonts w:cs="Arial"/>
              </w:rPr>
            </w:pPr>
            <w:r w:rsidRPr="00E36C1A">
              <w:rPr>
                <w:rFonts w:cs="Arial"/>
              </w:rPr>
              <w:t>Notification of contract award decision</w:t>
            </w:r>
          </w:p>
        </w:tc>
        <w:tc>
          <w:tcPr>
            <w:tcW w:w="3492" w:type="dxa"/>
            <w:shd w:val="clear" w:color="auto" w:fill="auto"/>
          </w:tcPr>
          <w:p w14:paraId="788EBA25" w14:textId="1F77D572" w:rsidR="00874FCE" w:rsidRPr="00E36C1A" w:rsidRDefault="00E36C1A" w:rsidP="00874FCE">
            <w:pPr>
              <w:rPr>
                <w:rFonts w:cs="Arial"/>
              </w:rPr>
            </w:pPr>
            <w:r w:rsidRPr="00E36C1A">
              <w:rPr>
                <w:rFonts w:cs="Arial"/>
              </w:rPr>
              <w:t>10/3</w:t>
            </w:r>
            <w:r w:rsidR="0071488E" w:rsidRPr="00E36C1A">
              <w:rPr>
                <w:rFonts w:cs="Arial"/>
              </w:rPr>
              <w:t>/2023</w:t>
            </w:r>
          </w:p>
        </w:tc>
      </w:tr>
      <w:tr w:rsidR="00874FCE" w:rsidRPr="00AE54E4" w14:paraId="760C1B34" w14:textId="77777777" w:rsidTr="00E36C1A">
        <w:tc>
          <w:tcPr>
            <w:tcW w:w="4804" w:type="dxa"/>
            <w:shd w:val="clear" w:color="auto" w:fill="auto"/>
          </w:tcPr>
          <w:p w14:paraId="6FD3AEFE" w14:textId="77777777" w:rsidR="00874FCE" w:rsidRPr="00E36C1A" w:rsidRDefault="00AF2EAC" w:rsidP="00874FCE">
            <w:pPr>
              <w:rPr>
                <w:rFonts w:cs="Arial"/>
              </w:rPr>
            </w:pPr>
            <w:bookmarkStart w:id="4" w:name="_GoBack"/>
            <w:bookmarkEnd w:id="4"/>
            <w:r w:rsidRPr="00E36C1A">
              <w:rPr>
                <w:rFonts w:cs="Arial"/>
              </w:rPr>
              <w:t>Target commencement date</w:t>
            </w:r>
          </w:p>
        </w:tc>
        <w:tc>
          <w:tcPr>
            <w:tcW w:w="3492" w:type="dxa"/>
            <w:shd w:val="clear" w:color="auto" w:fill="auto"/>
          </w:tcPr>
          <w:p w14:paraId="26ED3B63" w14:textId="603207D4" w:rsidR="00874FCE" w:rsidRPr="00E36C1A" w:rsidRDefault="00E36C1A" w:rsidP="00874FCE">
            <w:pPr>
              <w:rPr>
                <w:rFonts w:cs="Arial"/>
              </w:rPr>
            </w:pPr>
            <w:r w:rsidRPr="00E36C1A">
              <w:rPr>
                <w:rFonts w:cs="Arial"/>
              </w:rPr>
              <w:t>w/c 27</w:t>
            </w:r>
            <w:r w:rsidR="00A5675A" w:rsidRPr="00E36C1A">
              <w:rPr>
                <w:rFonts w:cs="Arial"/>
              </w:rPr>
              <w:t>/3/2023</w:t>
            </w:r>
          </w:p>
        </w:tc>
      </w:tr>
    </w:tbl>
    <w:p w14:paraId="497C9CB7" w14:textId="77777777" w:rsidR="00874FCE" w:rsidRPr="00AE54E4" w:rsidRDefault="00874FCE" w:rsidP="00874FCE">
      <w:pPr>
        <w:ind w:left="720" w:hanging="720"/>
        <w:rPr>
          <w:rFonts w:cs="Arial"/>
        </w:rPr>
      </w:pPr>
    </w:p>
    <w:p w14:paraId="4C94F803" w14:textId="77777777" w:rsidR="00874FCE" w:rsidRPr="00AE54E4" w:rsidRDefault="00874FCE" w:rsidP="00874FCE">
      <w:pPr>
        <w:ind w:left="720" w:hanging="720"/>
        <w:rPr>
          <w:rFonts w:cs="Arial"/>
        </w:rPr>
      </w:pPr>
      <w:r w:rsidRPr="00AE54E4">
        <w:rPr>
          <w:rFonts w:cs="Arial"/>
        </w:rPr>
        <w:tab/>
        <w:t xml:space="preserve">Any changes to the procurement Timetable shall be notified to all Respondents as soon as practicable. </w:t>
      </w:r>
    </w:p>
    <w:p w14:paraId="09FB7BA3" w14:textId="3B849F5F" w:rsidR="00874FCE" w:rsidRPr="00AE54E4" w:rsidRDefault="00874FCE" w:rsidP="00874FCE">
      <w:pPr>
        <w:rPr>
          <w:rFonts w:cs="Arial"/>
        </w:rPr>
      </w:pPr>
    </w:p>
    <w:p w14:paraId="69E2E184" w14:textId="5A9ECF63" w:rsidR="006B5830" w:rsidRPr="00AE54E4" w:rsidRDefault="006B5830" w:rsidP="00874FCE">
      <w:pPr>
        <w:rPr>
          <w:rFonts w:cs="Arial"/>
          <w:b/>
        </w:rPr>
      </w:pPr>
      <w:r w:rsidRPr="00AE54E4">
        <w:rPr>
          <w:rFonts w:cs="Arial"/>
          <w:b/>
        </w:rPr>
        <w:t>3.2</w:t>
      </w:r>
      <w:r w:rsidRPr="00AE54E4">
        <w:rPr>
          <w:rFonts w:cs="Arial"/>
        </w:rPr>
        <w:tab/>
      </w:r>
      <w:r w:rsidRPr="00AE54E4">
        <w:rPr>
          <w:rFonts w:cs="Arial"/>
          <w:b/>
        </w:rPr>
        <w:t>Deadline for receipt of clarifications</w:t>
      </w:r>
    </w:p>
    <w:p w14:paraId="64026D1C" w14:textId="0D168974" w:rsidR="006B5830" w:rsidRPr="00AE54E4" w:rsidRDefault="006B5830" w:rsidP="00874FCE">
      <w:pPr>
        <w:rPr>
          <w:rFonts w:cs="Arial"/>
        </w:rPr>
      </w:pPr>
    </w:p>
    <w:p w14:paraId="34A3DF6A" w14:textId="5F78949A" w:rsidR="006B5830" w:rsidRPr="00AE54E4" w:rsidRDefault="006B5830" w:rsidP="006B5830">
      <w:pPr>
        <w:ind w:left="720"/>
        <w:rPr>
          <w:rFonts w:cs="Arial"/>
        </w:rPr>
      </w:pPr>
      <w:r w:rsidRPr="00AE54E4">
        <w:rPr>
          <w:rFonts w:cs="Arial"/>
        </w:rPr>
        <w:t xml:space="preserve">Between </w:t>
      </w:r>
      <w:r w:rsidR="00E36C1A" w:rsidRPr="00E36C1A">
        <w:rPr>
          <w:rFonts w:cs="Arial"/>
        </w:rPr>
        <w:t>26</w:t>
      </w:r>
      <w:r w:rsidR="00A5675A" w:rsidRPr="00E36C1A">
        <w:rPr>
          <w:rFonts w:cs="Arial"/>
        </w:rPr>
        <w:t xml:space="preserve"> </w:t>
      </w:r>
      <w:r w:rsidR="00E36C1A">
        <w:rPr>
          <w:rFonts w:cs="Arial"/>
        </w:rPr>
        <w:t>January</w:t>
      </w:r>
      <w:r w:rsidR="00A5675A" w:rsidRPr="00E36C1A">
        <w:rPr>
          <w:rFonts w:cs="Arial"/>
        </w:rPr>
        <w:t xml:space="preserve"> 2023</w:t>
      </w:r>
      <w:r w:rsidR="00D14BD0" w:rsidRPr="00E36C1A">
        <w:rPr>
          <w:rFonts w:cs="Arial"/>
        </w:rPr>
        <w:t xml:space="preserve"> and </w:t>
      </w:r>
      <w:r w:rsidR="00E36C1A" w:rsidRPr="00E36C1A">
        <w:rPr>
          <w:rFonts w:cs="Arial"/>
        </w:rPr>
        <w:t xml:space="preserve">9 </w:t>
      </w:r>
      <w:r w:rsidR="00E36C1A">
        <w:rPr>
          <w:rFonts w:cs="Arial"/>
        </w:rPr>
        <w:t>February</w:t>
      </w:r>
      <w:r w:rsidRPr="00E36C1A">
        <w:rPr>
          <w:rFonts w:cs="Arial"/>
        </w:rPr>
        <w:t xml:space="preserve"> </w:t>
      </w:r>
      <w:r w:rsidR="00A5675A" w:rsidRPr="00E36C1A">
        <w:rPr>
          <w:rFonts w:cs="Arial"/>
        </w:rPr>
        <w:t>2023</w:t>
      </w:r>
      <w:r w:rsidR="00A5675A" w:rsidRPr="00AE54E4">
        <w:rPr>
          <w:rFonts w:cs="Arial"/>
        </w:rPr>
        <w:t xml:space="preserve"> </w:t>
      </w:r>
      <w:r w:rsidRPr="00AE54E4">
        <w:rPr>
          <w:rFonts w:cs="Arial"/>
        </w:rPr>
        <w:t xml:space="preserve">please contact </w:t>
      </w:r>
      <w:r w:rsidR="0071488E" w:rsidRPr="00AE54E4">
        <w:rPr>
          <w:rFonts w:cs="Arial"/>
        </w:rPr>
        <w:t>Jayson Grygiel</w:t>
      </w:r>
      <w:r w:rsidR="003C43FE" w:rsidRPr="00AE54E4">
        <w:rPr>
          <w:rFonts w:cs="Arial"/>
        </w:rPr>
        <w:t xml:space="preserve"> </w:t>
      </w:r>
      <w:r w:rsidR="009949BA" w:rsidRPr="00AE54E4">
        <w:rPr>
          <w:rFonts w:cs="Arial"/>
        </w:rPr>
        <w:t>via the message facility on Proactis</w:t>
      </w:r>
      <w:r w:rsidRPr="00AE54E4">
        <w:rPr>
          <w:rFonts w:cs="Arial"/>
        </w:rPr>
        <w:t>.</w:t>
      </w:r>
      <w:r w:rsidR="0071488E" w:rsidRPr="00AE54E4">
        <w:rPr>
          <w:rFonts w:cs="Arial"/>
        </w:rPr>
        <w:t xml:space="preserve"> </w:t>
      </w:r>
    </w:p>
    <w:p w14:paraId="0433E184" w14:textId="77777777" w:rsidR="006B5830" w:rsidRPr="00AE54E4" w:rsidRDefault="006B5830" w:rsidP="00874FCE">
      <w:pPr>
        <w:rPr>
          <w:rFonts w:cs="Arial"/>
        </w:rPr>
      </w:pPr>
    </w:p>
    <w:p w14:paraId="0FC2C8F3" w14:textId="0ED993B4" w:rsidR="00874FCE" w:rsidRPr="00AE54E4" w:rsidRDefault="006B5830" w:rsidP="00874FCE">
      <w:pPr>
        <w:rPr>
          <w:rFonts w:cs="Arial"/>
          <w:b/>
        </w:rPr>
      </w:pPr>
      <w:r w:rsidRPr="00AE54E4">
        <w:rPr>
          <w:rFonts w:cs="Arial"/>
          <w:b/>
        </w:rPr>
        <w:t>3.3</w:t>
      </w:r>
      <w:r w:rsidR="00874FCE" w:rsidRPr="00AE54E4">
        <w:rPr>
          <w:rFonts w:cs="Arial"/>
          <w:b/>
        </w:rPr>
        <w:tab/>
        <w:t xml:space="preserve">Deadline for receipt of </w:t>
      </w:r>
      <w:r w:rsidR="00C0471F" w:rsidRPr="00AE54E4">
        <w:rPr>
          <w:rFonts w:cs="Arial"/>
          <w:b/>
        </w:rPr>
        <w:t>Quotes</w:t>
      </w:r>
      <w:r w:rsidR="00874FCE" w:rsidRPr="00AE54E4">
        <w:rPr>
          <w:rFonts w:cs="Arial"/>
          <w:b/>
        </w:rPr>
        <w:t xml:space="preserve"> </w:t>
      </w:r>
    </w:p>
    <w:p w14:paraId="3EA3D69D" w14:textId="77777777" w:rsidR="00874FCE" w:rsidRPr="00AE54E4" w:rsidRDefault="00874FCE" w:rsidP="00874FCE">
      <w:pPr>
        <w:ind w:left="720"/>
        <w:rPr>
          <w:rFonts w:cs="Arial"/>
        </w:rPr>
      </w:pPr>
    </w:p>
    <w:p w14:paraId="2E6D11B0" w14:textId="010CCAB8" w:rsidR="00874FCE" w:rsidRPr="00AE54E4" w:rsidRDefault="0027117F" w:rsidP="00874FCE">
      <w:pPr>
        <w:ind w:left="720"/>
        <w:rPr>
          <w:rFonts w:cs="Arial"/>
        </w:rPr>
      </w:pPr>
      <w:r w:rsidRPr="00AE54E4">
        <w:rPr>
          <w:rFonts w:cs="Arial"/>
        </w:rPr>
        <w:t>Responses to this ITQ</w:t>
      </w:r>
      <w:r w:rsidR="00874FCE" w:rsidRPr="00AE54E4">
        <w:rPr>
          <w:rFonts w:cs="Arial"/>
        </w:rPr>
        <w:t xml:space="preserve"> must arrive at the address and in the manner prescribed under Paragraph</w:t>
      </w:r>
      <w:r w:rsidR="00AF2EAC" w:rsidRPr="00AE54E4">
        <w:rPr>
          <w:rFonts w:cs="Arial"/>
        </w:rPr>
        <w:t xml:space="preserve"> 4</w:t>
      </w:r>
      <w:r w:rsidR="00874FCE" w:rsidRPr="00AE54E4">
        <w:rPr>
          <w:rFonts w:cs="Arial"/>
        </w:rPr>
        <w:t xml:space="preserve"> .1 no later than the Deadline, </w:t>
      </w:r>
      <w:r w:rsidR="00874FCE" w:rsidRPr="00E36C1A">
        <w:rPr>
          <w:rFonts w:cs="Arial"/>
        </w:rPr>
        <w:t xml:space="preserve">noon, </w:t>
      </w:r>
      <w:r w:rsidR="00E36C1A" w:rsidRPr="00E36C1A">
        <w:rPr>
          <w:rFonts w:cs="Arial"/>
        </w:rPr>
        <w:t>24</w:t>
      </w:r>
      <w:r w:rsidR="00A5675A" w:rsidRPr="00E36C1A">
        <w:rPr>
          <w:rFonts w:cs="Arial"/>
        </w:rPr>
        <w:t xml:space="preserve"> February</w:t>
      </w:r>
      <w:r w:rsidR="0071488E" w:rsidRPr="00E36C1A">
        <w:rPr>
          <w:rFonts w:cs="Arial"/>
        </w:rPr>
        <w:t xml:space="preserve"> 2023</w:t>
      </w:r>
      <w:r w:rsidR="00874FCE" w:rsidRPr="00E36C1A">
        <w:rPr>
          <w:rFonts w:cs="Arial"/>
        </w:rPr>
        <w:t>.</w:t>
      </w:r>
      <w:r w:rsidR="00874FCE" w:rsidRPr="00AE54E4">
        <w:rPr>
          <w:rFonts w:cs="Arial"/>
        </w:rPr>
        <w:t xml:space="preserve"> Any </w:t>
      </w:r>
      <w:r w:rsidR="00C0471F" w:rsidRPr="00AE54E4">
        <w:rPr>
          <w:rFonts w:cs="Arial"/>
        </w:rPr>
        <w:t>Quote</w:t>
      </w:r>
      <w:r w:rsidR="00874FCE" w:rsidRPr="00AE54E4">
        <w:rPr>
          <w:rFonts w:cs="Arial"/>
        </w:rPr>
        <w:t xml:space="preserve"> received after the Deadline shall not be opened or considered. The Council may, however, in its own absolute discretion extend the Deadline and in such circumstances the Council will notify all Respondents of any change. </w:t>
      </w:r>
    </w:p>
    <w:p w14:paraId="294C5FCF" w14:textId="6D10E6D5" w:rsidR="003B26B5" w:rsidRDefault="003B26B5">
      <w:pPr>
        <w:rPr>
          <w:rFonts w:cs="Arial"/>
        </w:rPr>
      </w:pPr>
      <w:r>
        <w:rPr>
          <w:rFonts w:cs="Arial"/>
        </w:rPr>
        <w:br w:type="page"/>
      </w:r>
    </w:p>
    <w:p w14:paraId="3C747815" w14:textId="77777777" w:rsidR="00874FCE" w:rsidRPr="00AE54E4" w:rsidRDefault="00874FCE" w:rsidP="00874FCE">
      <w:pPr>
        <w:rPr>
          <w:rFonts w:cs="Arial"/>
        </w:rPr>
      </w:pPr>
    </w:p>
    <w:p w14:paraId="72045DFD" w14:textId="06AC784A" w:rsidR="00874FCE" w:rsidRPr="00AE54E4" w:rsidRDefault="006B5830" w:rsidP="00874FCE">
      <w:pPr>
        <w:rPr>
          <w:rFonts w:cs="Arial"/>
          <w:b/>
        </w:rPr>
      </w:pPr>
      <w:r w:rsidRPr="00AE54E4">
        <w:rPr>
          <w:rFonts w:cs="Arial"/>
          <w:b/>
        </w:rPr>
        <w:t>3.</w:t>
      </w:r>
      <w:r w:rsidR="00B12628" w:rsidRPr="00AE54E4">
        <w:rPr>
          <w:rFonts w:cs="Arial"/>
          <w:b/>
        </w:rPr>
        <w:t>4</w:t>
      </w:r>
      <w:r w:rsidR="00874FCE" w:rsidRPr="00AE54E4">
        <w:rPr>
          <w:rFonts w:cs="Arial"/>
          <w:b/>
        </w:rPr>
        <w:t xml:space="preserve"> </w:t>
      </w:r>
      <w:r w:rsidR="00874FCE" w:rsidRPr="00AE54E4">
        <w:rPr>
          <w:rFonts w:cs="Arial"/>
          <w:b/>
        </w:rPr>
        <w:tab/>
        <w:t xml:space="preserve">References </w:t>
      </w:r>
    </w:p>
    <w:p w14:paraId="2C96B24A" w14:textId="77777777" w:rsidR="00874FCE" w:rsidRPr="00AE54E4" w:rsidRDefault="00874FCE" w:rsidP="00874FCE">
      <w:pPr>
        <w:rPr>
          <w:rFonts w:cs="Arial"/>
        </w:rPr>
      </w:pPr>
    </w:p>
    <w:p w14:paraId="27194ECC" w14:textId="713AF0A1" w:rsidR="00C97D21" w:rsidRPr="00AE54E4" w:rsidRDefault="00C97D21" w:rsidP="00C97D21">
      <w:pPr>
        <w:ind w:left="720"/>
        <w:rPr>
          <w:rFonts w:cs="Arial"/>
        </w:rPr>
      </w:pPr>
      <w:r w:rsidRPr="00AE54E4">
        <w:rPr>
          <w:rFonts w:cs="Arial"/>
        </w:rPr>
        <w:t>Respondents are required to supply 2 references to accompany their bid and these will be used to verify the technical proposals p</w:t>
      </w:r>
      <w:r w:rsidR="00213343" w:rsidRPr="00AE54E4">
        <w:rPr>
          <w:rFonts w:cs="Arial"/>
        </w:rPr>
        <w:t>ut forward in this Opportunity</w:t>
      </w:r>
      <w:r w:rsidRPr="00AE54E4">
        <w:rPr>
          <w:rFonts w:cs="Arial"/>
        </w:rPr>
        <w:t xml:space="preserve">. </w:t>
      </w:r>
      <w:r w:rsidRPr="00AE54E4">
        <w:rPr>
          <w:rFonts w:cs="Arial"/>
          <w:b/>
        </w:rPr>
        <w:t>Failure to provide the references will invalidate your bid and it will not proceed to evaluation.</w:t>
      </w:r>
    </w:p>
    <w:p w14:paraId="10F0A302" w14:textId="77777777" w:rsidR="00C97D21" w:rsidRPr="00AE54E4" w:rsidRDefault="00C97D21" w:rsidP="00C97D21">
      <w:pPr>
        <w:spacing w:after="200" w:line="276" w:lineRule="auto"/>
        <w:ind w:left="720"/>
        <w:rPr>
          <w:rFonts w:cs="Arial"/>
          <w:sz w:val="22"/>
        </w:rPr>
      </w:pPr>
    </w:p>
    <w:p w14:paraId="7AAA2E5C" w14:textId="75D1B714" w:rsidR="00C97D21" w:rsidRPr="00AE54E4" w:rsidRDefault="00C97D21" w:rsidP="00C97D21">
      <w:pPr>
        <w:spacing w:after="200" w:line="276" w:lineRule="auto"/>
        <w:ind w:left="720"/>
        <w:rPr>
          <w:rFonts w:cs="Arial"/>
          <w:sz w:val="22"/>
        </w:rPr>
      </w:pPr>
      <w:r w:rsidRPr="00AE54E4">
        <w:rPr>
          <w:rFonts w:cs="Arial"/>
        </w:rPr>
        <w:t>You must use the reference questionnaire</w:t>
      </w:r>
      <w:r w:rsidR="0080192A" w:rsidRPr="00AE54E4">
        <w:rPr>
          <w:rFonts w:cs="Arial"/>
        </w:rPr>
        <w:t xml:space="preserve"> (Schedule 3</w:t>
      </w:r>
      <w:r w:rsidR="00566048" w:rsidRPr="00AE54E4">
        <w:rPr>
          <w:rFonts w:cs="Arial"/>
        </w:rPr>
        <w:t>)</w:t>
      </w:r>
      <w:r w:rsidR="00AE54E4">
        <w:rPr>
          <w:rFonts w:cs="Arial"/>
        </w:rPr>
        <w:t xml:space="preserve"> included with</w:t>
      </w:r>
      <w:r w:rsidRPr="00AE54E4">
        <w:rPr>
          <w:rFonts w:cs="Arial"/>
        </w:rPr>
        <w:t xml:space="preserve"> this </w:t>
      </w:r>
      <w:r w:rsidR="00213343" w:rsidRPr="00AE54E4">
        <w:rPr>
          <w:rFonts w:cs="Arial"/>
        </w:rPr>
        <w:t>ITQ</w:t>
      </w:r>
      <w:r w:rsidRPr="00AE54E4">
        <w:rPr>
          <w:rFonts w:cs="Arial"/>
        </w:rPr>
        <w:t xml:space="preserve"> and your references should relate to the te</w:t>
      </w:r>
      <w:r w:rsidR="00213343" w:rsidRPr="00AE54E4">
        <w:rPr>
          <w:rFonts w:cs="Arial"/>
        </w:rPr>
        <w:t>c</w:t>
      </w:r>
      <w:r w:rsidRPr="00AE54E4">
        <w:rPr>
          <w:rFonts w:cs="Arial"/>
        </w:rPr>
        <w:t>hnical ability required for this opportunity. You must complete Section 1 of the reference questionnaire which you should then forward to your</w:t>
      </w:r>
      <w:r w:rsidRPr="00AE54E4">
        <w:rPr>
          <w:rFonts w:cs="Arial"/>
          <w:sz w:val="22"/>
        </w:rPr>
        <w:t xml:space="preserve"> </w:t>
      </w:r>
      <w:r w:rsidRPr="00AE54E4">
        <w:rPr>
          <w:rFonts w:cs="Arial"/>
        </w:rPr>
        <w:t>referees. They must complete Section 2 and send this DIRECTLY to</w:t>
      </w:r>
      <w:r w:rsidRPr="00AE54E4">
        <w:rPr>
          <w:rFonts w:cs="Arial"/>
          <w:szCs w:val="24"/>
        </w:rPr>
        <w:t xml:space="preserve"> </w:t>
      </w:r>
      <w:hyperlink r:id="rId8" w:history="1">
        <w:r w:rsidRPr="00AE54E4">
          <w:rPr>
            <w:rFonts w:cs="Arial"/>
            <w:color w:val="0000FF"/>
            <w:szCs w:val="24"/>
            <w:u w:val="single"/>
          </w:rPr>
          <w:t>procurement@gosport.gov.uk</w:t>
        </w:r>
      </w:hyperlink>
    </w:p>
    <w:p w14:paraId="2C4292A2" w14:textId="415B2471" w:rsidR="00874FCE" w:rsidRPr="00AE54E4" w:rsidRDefault="00C97D21" w:rsidP="0017561C">
      <w:pPr>
        <w:spacing w:after="200" w:line="276" w:lineRule="auto"/>
        <w:ind w:left="720"/>
        <w:rPr>
          <w:rFonts w:cs="Arial"/>
        </w:rPr>
      </w:pPr>
      <w:r w:rsidRPr="00AE54E4">
        <w:rPr>
          <w:rFonts w:cs="Arial"/>
        </w:rPr>
        <w:t>It is then the respondents’ responsibility to check that the Council has received the required number of references in the required format before the closing date of this opportunity, please do this by e-mailing as above. This e-mail must only be used for reference issues, any other questions regarding this opportunity must be raised via the Pr</w:t>
      </w:r>
      <w:r w:rsidR="0017561C" w:rsidRPr="00AE54E4">
        <w:rPr>
          <w:rFonts w:cs="Arial"/>
        </w:rPr>
        <w:t>oactis messaging facility</w:t>
      </w:r>
    </w:p>
    <w:p w14:paraId="11000AD9" w14:textId="77777777" w:rsidR="00874FCE" w:rsidRPr="00AE54E4" w:rsidRDefault="00874FCE" w:rsidP="00874FCE">
      <w:pPr>
        <w:ind w:left="720"/>
        <w:rPr>
          <w:rFonts w:cs="Arial"/>
        </w:rPr>
      </w:pPr>
    </w:p>
    <w:p w14:paraId="609A389B" w14:textId="77777777" w:rsidR="0028507F" w:rsidRPr="00AE54E4" w:rsidRDefault="0028507F" w:rsidP="0028507F">
      <w:pPr>
        <w:rPr>
          <w:rFonts w:cs="Arial"/>
          <w:b/>
        </w:rPr>
      </w:pPr>
      <w:r w:rsidRPr="00AE54E4">
        <w:rPr>
          <w:rFonts w:cs="Arial"/>
          <w:b/>
        </w:rPr>
        <w:t>3.5</w:t>
      </w:r>
      <w:r w:rsidRPr="00AE54E4">
        <w:rPr>
          <w:rFonts w:cs="Arial"/>
          <w:b/>
        </w:rPr>
        <w:tab/>
      </w:r>
      <w:r w:rsidR="00874FCE" w:rsidRPr="00AE54E4">
        <w:rPr>
          <w:rFonts w:cs="Arial"/>
          <w:b/>
        </w:rPr>
        <w:t xml:space="preserve">Contract Award </w:t>
      </w:r>
    </w:p>
    <w:p w14:paraId="177A75AB" w14:textId="77777777" w:rsidR="0028507F" w:rsidRPr="00AE54E4" w:rsidRDefault="0028507F" w:rsidP="0028507F">
      <w:pPr>
        <w:rPr>
          <w:rFonts w:cs="Arial"/>
        </w:rPr>
      </w:pPr>
    </w:p>
    <w:p w14:paraId="5000CF0D" w14:textId="02EABC33" w:rsidR="0028507F" w:rsidRPr="00AE54E4" w:rsidRDefault="00874FCE" w:rsidP="0028507F">
      <w:pPr>
        <w:ind w:left="720"/>
        <w:rPr>
          <w:rFonts w:cs="Arial"/>
        </w:rPr>
      </w:pPr>
      <w:r w:rsidRPr="00AE54E4">
        <w:rPr>
          <w:rFonts w:cs="Arial"/>
        </w:rPr>
        <w:t xml:space="preserve">The Council may award Contract(s) on the basis of a </w:t>
      </w:r>
      <w:r w:rsidR="00C0471F" w:rsidRPr="00AE54E4">
        <w:rPr>
          <w:rFonts w:cs="Arial"/>
        </w:rPr>
        <w:t>Quote</w:t>
      </w:r>
      <w:r w:rsidRPr="00AE54E4">
        <w:rPr>
          <w:rFonts w:cs="Arial"/>
        </w:rPr>
        <w:t xml:space="preserve"> submitted in accordance with the instructions below. Contract award is subject to the formal approval process of the Council. Until all necessary approvals are obtained no Contract will be entered into. Once the Council has reached a decision in respect of a contract award, it will notify all bidders of that decision via proactis and before entering into any Contract(s). </w:t>
      </w:r>
    </w:p>
    <w:p w14:paraId="4A140CD3" w14:textId="77777777" w:rsidR="0028507F" w:rsidRPr="00AE54E4" w:rsidRDefault="0028507F" w:rsidP="0028507F">
      <w:pPr>
        <w:rPr>
          <w:rFonts w:cs="Arial"/>
        </w:rPr>
      </w:pPr>
    </w:p>
    <w:p w14:paraId="7E3CD217" w14:textId="54263EC5" w:rsidR="0028507F" w:rsidRPr="00AE54E4" w:rsidRDefault="0028507F" w:rsidP="0028507F">
      <w:pPr>
        <w:rPr>
          <w:rFonts w:cs="Arial"/>
          <w:b/>
        </w:rPr>
      </w:pPr>
      <w:r w:rsidRPr="00AE54E4">
        <w:rPr>
          <w:rFonts w:cs="Arial"/>
          <w:b/>
        </w:rPr>
        <w:t>3.6</w:t>
      </w:r>
      <w:r w:rsidRPr="00AE54E4">
        <w:rPr>
          <w:rFonts w:cs="Arial"/>
          <w:b/>
        </w:rPr>
        <w:tab/>
      </w:r>
      <w:r w:rsidR="00874FCE" w:rsidRPr="00AE54E4">
        <w:rPr>
          <w:rFonts w:cs="Arial"/>
          <w:b/>
        </w:rPr>
        <w:t xml:space="preserve">Programme Dates </w:t>
      </w:r>
      <w:r w:rsidR="008F5028" w:rsidRPr="00AE54E4">
        <w:rPr>
          <w:rFonts w:cs="Arial"/>
          <w:b/>
        </w:rPr>
        <w:t>and Proposed Meetings</w:t>
      </w:r>
    </w:p>
    <w:p w14:paraId="7E54BB95" w14:textId="77777777" w:rsidR="0028507F" w:rsidRPr="00AE54E4" w:rsidRDefault="0028507F" w:rsidP="0028507F">
      <w:pPr>
        <w:rPr>
          <w:rFonts w:cs="Arial"/>
        </w:rPr>
      </w:pPr>
    </w:p>
    <w:p w14:paraId="13AD2D75" w14:textId="1B6CA714" w:rsidR="0028507F" w:rsidRPr="00AE54E4" w:rsidRDefault="00874FCE" w:rsidP="0028507F">
      <w:pPr>
        <w:ind w:left="720"/>
        <w:rPr>
          <w:rFonts w:cs="Arial"/>
        </w:rPr>
      </w:pPr>
      <w:r w:rsidRPr="00AE54E4">
        <w:rPr>
          <w:rFonts w:cs="Arial"/>
        </w:rPr>
        <w:t xml:space="preserve">The Council will expect </w:t>
      </w:r>
      <w:r w:rsidR="006A5DD2" w:rsidRPr="00AE54E4">
        <w:rPr>
          <w:rFonts w:cs="Arial"/>
        </w:rPr>
        <w:t xml:space="preserve">a draft </w:t>
      </w:r>
      <w:r w:rsidR="002A55B7" w:rsidRPr="00AE54E4">
        <w:rPr>
          <w:rFonts w:cs="Arial"/>
        </w:rPr>
        <w:t>s</w:t>
      </w:r>
      <w:r w:rsidR="003C43FE" w:rsidRPr="00AE54E4">
        <w:rPr>
          <w:rFonts w:cs="Arial"/>
        </w:rPr>
        <w:t xml:space="preserve">tudy </w:t>
      </w:r>
      <w:r w:rsidR="002A55B7" w:rsidRPr="00AE54E4">
        <w:rPr>
          <w:rFonts w:cs="Arial"/>
        </w:rPr>
        <w:t>report</w:t>
      </w:r>
      <w:r w:rsidRPr="00AE54E4">
        <w:rPr>
          <w:rFonts w:cs="Arial"/>
        </w:rPr>
        <w:t xml:space="preserve"> by </w:t>
      </w:r>
      <w:r w:rsidR="00E36C1A">
        <w:rPr>
          <w:rFonts w:cs="Arial"/>
        </w:rPr>
        <w:t xml:space="preserve">mid </w:t>
      </w:r>
      <w:r w:rsidR="00E36C1A" w:rsidRPr="00E36C1A">
        <w:rPr>
          <w:rFonts w:cs="Arial"/>
        </w:rPr>
        <w:t>June</w:t>
      </w:r>
      <w:r w:rsidR="002A55B7" w:rsidRPr="00E36C1A">
        <w:rPr>
          <w:rFonts w:cs="Arial"/>
        </w:rPr>
        <w:t xml:space="preserve"> </w:t>
      </w:r>
      <w:r w:rsidR="00E047F5" w:rsidRPr="00E36C1A">
        <w:rPr>
          <w:rFonts w:cs="Arial"/>
        </w:rPr>
        <w:t>2023</w:t>
      </w:r>
      <w:r w:rsidR="00941FC9" w:rsidRPr="00AE54E4" w:rsidDel="00941FC9">
        <w:rPr>
          <w:rFonts w:cs="Arial"/>
        </w:rPr>
        <w:t xml:space="preserve"> </w:t>
      </w:r>
      <w:r w:rsidRPr="00AE54E4">
        <w:rPr>
          <w:rFonts w:cs="Arial"/>
        </w:rPr>
        <w:t xml:space="preserve">and a completed </w:t>
      </w:r>
      <w:r w:rsidR="002A55B7" w:rsidRPr="00AE54E4">
        <w:rPr>
          <w:rFonts w:cs="Arial"/>
        </w:rPr>
        <w:t xml:space="preserve">report </w:t>
      </w:r>
      <w:r w:rsidRPr="00AE54E4">
        <w:rPr>
          <w:rFonts w:cs="Arial"/>
        </w:rPr>
        <w:t xml:space="preserve">by </w:t>
      </w:r>
      <w:r w:rsidR="00E36C1A" w:rsidRPr="00E36C1A">
        <w:rPr>
          <w:rFonts w:cs="Arial"/>
        </w:rPr>
        <w:t>mid July</w:t>
      </w:r>
      <w:r w:rsidR="00910517" w:rsidRPr="00E36C1A">
        <w:rPr>
          <w:rFonts w:cs="Arial"/>
        </w:rPr>
        <w:t xml:space="preserve"> </w:t>
      </w:r>
      <w:r w:rsidR="00E047F5" w:rsidRPr="00E36C1A">
        <w:rPr>
          <w:rFonts w:cs="Arial"/>
        </w:rPr>
        <w:t>2023</w:t>
      </w:r>
      <w:r w:rsidR="00910517" w:rsidRPr="00AE54E4">
        <w:rPr>
          <w:rFonts w:cs="Arial"/>
        </w:rPr>
        <w:t xml:space="preserve"> in order to inform the emerging masterplanning process and the next stage of the Council’s Local Plan</w:t>
      </w:r>
    </w:p>
    <w:p w14:paraId="75B58B63" w14:textId="77777777" w:rsidR="0028507F" w:rsidRPr="00AE54E4" w:rsidRDefault="0028507F" w:rsidP="0028507F">
      <w:pPr>
        <w:ind w:left="720"/>
        <w:rPr>
          <w:rFonts w:cs="Arial"/>
        </w:rPr>
      </w:pPr>
    </w:p>
    <w:p w14:paraId="50B14369" w14:textId="75832601" w:rsidR="0028507F" w:rsidRPr="00AE54E4" w:rsidRDefault="0028507F" w:rsidP="0028507F">
      <w:pPr>
        <w:ind w:left="720"/>
        <w:rPr>
          <w:rFonts w:cs="Arial"/>
        </w:rPr>
      </w:pPr>
      <w:r w:rsidRPr="00AE54E4">
        <w:rPr>
          <w:rFonts w:cs="Arial"/>
        </w:rPr>
        <w:t>T</w:t>
      </w:r>
      <w:r w:rsidR="00874FCE" w:rsidRPr="00AE54E4">
        <w:rPr>
          <w:rFonts w:cs="Arial"/>
        </w:rPr>
        <w:t xml:space="preserve">he consultants will need to provide a detailed work programme to meet this target date which outlines when the key tasks will be undertaken. It will also need to allow for appropriate liaison meetings with </w:t>
      </w:r>
      <w:r w:rsidR="0040751D" w:rsidRPr="00AE54E4">
        <w:rPr>
          <w:rFonts w:cs="Arial"/>
        </w:rPr>
        <w:t xml:space="preserve">the </w:t>
      </w:r>
      <w:r w:rsidR="00874FCE" w:rsidRPr="00AE54E4">
        <w:rPr>
          <w:rFonts w:cs="Arial"/>
        </w:rPr>
        <w:t>Council</w:t>
      </w:r>
      <w:r w:rsidR="0040751D" w:rsidRPr="00AE54E4">
        <w:rPr>
          <w:rFonts w:cs="Arial"/>
        </w:rPr>
        <w:t xml:space="preserve"> and</w:t>
      </w:r>
      <w:r w:rsidR="00910517" w:rsidRPr="00AE54E4">
        <w:rPr>
          <w:rFonts w:cs="Arial"/>
        </w:rPr>
        <w:t xml:space="preserve"> DIO</w:t>
      </w:r>
      <w:r w:rsidR="00874FCE" w:rsidRPr="00AE54E4">
        <w:rPr>
          <w:rFonts w:cs="Arial"/>
        </w:rPr>
        <w:t xml:space="preserve"> officers on the draft findings of the study</w:t>
      </w:r>
      <w:r w:rsidR="00910517" w:rsidRPr="00AE54E4">
        <w:rPr>
          <w:rFonts w:cs="Arial"/>
        </w:rPr>
        <w:t xml:space="preserve"> as well as input from Historic England</w:t>
      </w:r>
      <w:r w:rsidR="00874FCE" w:rsidRPr="00AE54E4">
        <w:rPr>
          <w:rFonts w:cs="Arial"/>
        </w:rPr>
        <w:t>. The consultant and Council</w:t>
      </w:r>
      <w:r w:rsidR="00910517" w:rsidRPr="00AE54E4">
        <w:rPr>
          <w:rFonts w:cs="Arial"/>
        </w:rPr>
        <w:t xml:space="preserve"> and DIO</w:t>
      </w:r>
      <w:r w:rsidR="00874FCE" w:rsidRPr="00AE54E4">
        <w:rPr>
          <w:rFonts w:cs="Arial"/>
        </w:rPr>
        <w:t xml:space="preserve"> officers will hold meetings as and when necessary but as a minimum will include the following: </w:t>
      </w:r>
    </w:p>
    <w:p w14:paraId="3B73E318" w14:textId="77777777" w:rsidR="0028507F" w:rsidRPr="00AE54E4" w:rsidRDefault="0028507F" w:rsidP="0028507F">
      <w:pPr>
        <w:ind w:left="720"/>
        <w:rPr>
          <w:rFonts w:cs="Arial"/>
        </w:rPr>
      </w:pPr>
    </w:p>
    <w:p w14:paraId="67DBE24A" w14:textId="04B35AE0" w:rsidR="0028507F" w:rsidRPr="00AE54E4" w:rsidRDefault="00874FCE" w:rsidP="006F2DC7">
      <w:pPr>
        <w:pStyle w:val="ListParagraph"/>
        <w:numPr>
          <w:ilvl w:val="0"/>
          <w:numId w:val="2"/>
        </w:numPr>
        <w:ind w:left="1434" w:hanging="357"/>
        <w:rPr>
          <w:rFonts w:cs="Arial"/>
        </w:rPr>
      </w:pPr>
      <w:r w:rsidRPr="00AE54E4">
        <w:rPr>
          <w:rFonts w:cs="Arial"/>
        </w:rPr>
        <w:t xml:space="preserve">Introductory project meeting to confirm the project process, timetable and to establish information </w:t>
      </w:r>
      <w:r w:rsidR="0028507F" w:rsidRPr="00AE54E4">
        <w:rPr>
          <w:rFonts w:cs="Arial"/>
        </w:rPr>
        <w:t xml:space="preserve">needs and sources </w:t>
      </w:r>
      <w:r w:rsidR="00AF2EAC" w:rsidRPr="00AE54E4">
        <w:rPr>
          <w:rFonts w:cs="Arial"/>
        </w:rPr>
        <w:t>–</w:t>
      </w:r>
      <w:r w:rsidR="0028507F" w:rsidRPr="00AE54E4">
        <w:rPr>
          <w:rFonts w:cs="Arial"/>
        </w:rPr>
        <w:t xml:space="preserve"> </w:t>
      </w:r>
      <w:r w:rsidR="0093647B" w:rsidRPr="00E36C1A">
        <w:rPr>
          <w:rFonts w:cs="Arial"/>
        </w:rPr>
        <w:t xml:space="preserve">w/c </w:t>
      </w:r>
      <w:r w:rsidR="00E36C1A" w:rsidRPr="00E36C1A">
        <w:rPr>
          <w:rFonts w:cs="Arial"/>
        </w:rPr>
        <w:t>27</w:t>
      </w:r>
      <w:r w:rsidR="00A5675A" w:rsidRPr="00E36C1A">
        <w:rPr>
          <w:rFonts w:cs="Arial"/>
        </w:rPr>
        <w:t xml:space="preserve"> March</w:t>
      </w:r>
      <w:r w:rsidR="0093647B" w:rsidRPr="00E36C1A">
        <w:rPr>
          <w:rFonts w:cs="Arial"/>
        </w:rPr>
        <w:t xml:space="preserve"> </w:t>
      </w:r>
      <w:r w:rsidR="00910517" w:rsidRPr="00E36C1A">
        <w:rPr>
          <w:rFonts w:cs="Arial"/>
        </w:rPr>
        <w:t>2023</w:t>
      </w:r>
      <w:r w:rsidR="008F5028" w:rsidRPr="00E36C1A">
        <w:rPr>
          <w:rFonts w:cs="Arial"/>
        </w:rPr>
        <w:t>.</w:t>
      </w:r>
      <w:r w:rsidR="008F5028" w:rsidRPr="00AE54E4">
        <w:rPr>
          <w:rFonts w:cs="Arial"/>
        </w:rPr>
        <w:t xml:space="preserve">  This is likely to be face to face and include a site visit.</w:t>
      </w:r>
    </w:p>
    <w:p w14:paraId="7985112A" w14:textId="77777777" w:rsidR="0028507F" w:rsidRPr="00AE54E4" w:rsidRDefault="0028507F" w:rsidP="0028507F">
      <w:pPr>
        <w:ind w:left="1434" w:hanging="357"/>
        <w:rPr>
          <w:rFonts w:cs="Arial"/>
        </w:rPr>
      </w:pPr>
    </w:p>
    <w:p w14:paraId="00F061C3" w14:textId="375F3084" w:rsidR="0028507F" w:rsidRPr="00AE54E4" w:rsidRDefault="00874FCE" w:rsidP="006F2DC7">
      <w:pPr>
        <w:pStyle w:val="ListParagraph"/>
        <w:numPr>
          <w:ilvl w:val="0"/>
          <w:numId w:val="2"/>
        </w:numPr>
        <w:ind w:left="1434" w:hanging="357"/>
        <w:rPr>
          <w:rFonts w:cs="Arial"/>
        </w:rPr>
      </w:pPr>
      <w:r w:rsidRPr="00AE54E4">
        <w:rPr>
          <w:rFonts w:cs="Arial"/>
        </w:rPr>
        <w:lastRenderedPageBreak/>
        <w:t xml:space="preserve">Progress meeting to discuss any emerging issues or clarify requirements </w:t>
      </w:r>
      <w:r w:rsidR="00AF2EAC" w:rsidRPr="00AE54E4">
        <w:rPr>
          <w:rFonts w:cs="Arial"/>
        </w:rPr>
        <w:t>–</w:t>
      </w:r>
      <w:r w:rsidR="00A5675A" w:rsidRPr="00AE54E4">
        <w:rPr>
          <w:rFonts w:cs="Arial"/>
        </w:rPr>
        <w:t xml:space="preserve"> </w:t>
      </w:r>
      <w:r w:rsidR="00E36C1A" w:rsidRPr="00E36C1A">
        <w:rPr>
          <w:rFonts w:cs="Arial"/>
        </w:rPr>
        <w:t>mid-late</w:t>
      </w:r>
      <w:r w:rsidR="00A5675A" w:rsidRPr="00E36C1A">
        <w:rPr>
          <w:rFonts w:cs="Arial"/>
        </w:rPr>
        <w:t xml:space="preserve"> April </w:t>
      </w:r>
      <w:r w:rsidR="00910517" w:rsidRPr="00E36C1A">
        <w:rPr>
          <w:rFonts w:cs="Arial"/>
        </w:rPr>
        <w:t xml:space="preserve"> 2023</w:t>
      </w:r>
      <w:r w:rsidRPr="00E36C1A">
        <w:rPr>
          <w:rFonts w:cs="Arial"/>
        </w:rPr>
        <w:t>;</w:t>
      </w:r>
      <w:r w:rsidRPr="00AE54E4">
        <w:rPr>
          <w:rFonts w:cs="Arial"/>
        </w:rPr>
        <w:t xml:space="preserve"> and </w:t>
      </w:r>
    </w:p>
    <w:p w14:paraId="20E31FBA" w14:textId="77777777" w:rsidR="0028507F" w:rsidRPr="00AE54E4" w:rsidRDefault="0028507F" w:rsidP="0028507F">
      <w:pPr>
        <w:ind w:left="1434" w:hanging="357"/>
        <w:rPr>
          <w:rFonts w:cs="Arial"/>
        </w:rPr>
      </w:pPr>
    </w:p>
    <w:p w14:paraId="4444EAA7" w14:textId="15ACDEC5" w:rsidR="00874FCE" w:rsidRPr="00AE54E4" w:rsidRDefault="00874FCE" w:rsidP="006F2DC7">
      <w:pPr>
        <w:pStyle w:val="ListParagraph"/>
        <w:numPr>
          <w:ilvl w:val="0"/>
          <w:numId w:val="2"/>
        </w:numPr>
        <w:ind w:left="1434" w:hanging="357"/>
        <w:rPr>
          <w:rFonts w:cs="Arial"/>
        </w:rPr>
      </w:pPr>
      <w:r w:rsidRPr="00AE54E4">
        <w:rPr>
          <w:rFonts w:cs="Arial"/>
        </w:rPr>
        <w:t xml:space="preserve">Meeting to discuss the findings of draft report </w:t>
      </w:r>
      <w:r w:rsidR="00AF2EAC" w:rsidRPr="00AE54E4">
        <w:rPr>
          <w:rFonts w:cs="Arial"/>
        </w:rPr>
        <w:t>–</w:t>
      </w:r>
      <w:r w:rsidRPr="00AE54E4">
        <w:rPr>
          <w:rFonts w:cs="Arial"/>
        </w:rPr>
        <w:t xml:space="preserve"> </w:t>
      </w:r>
      <w:r w:rsidR="00E36C1A">
        <w:rPr>
          <w:rFonts w:cs="Arial"/>
        </w:rPr>
        <w:t>mid June</w:t>
      </w:r>
      <w:r w:rsidR="002A55B7" w:rsidRPr="00AE54E4">
        <w:rPr>
          <w:rFonts w:cs="Arial"/>
        </w:rPr>
        <w:t xml:space="preserve"> </w:t>
      </w:r>
      <w:r w:rsidR="0093647B" w:rsidRPr="00AE54E4">
        <w:rPr>
          <w:rFonts w:cs="Arial"/>
        </w:rPr>
        <w:t>2023</w:t>
      </w:r>
      <w:r w:rsidR="00910517" w:rsidRPr="00AE54E4">
        <w:rPr>
          <w:rFonts w:cs="Arial"/>
        </w:rPr>
        <w:t xml:space="preserve"> </w:t>
      </w:r>
    </w:p>
    <w:p w14:paraId="72968368" w14:textId="480BBF18" w:rsidR="00910517" w:rsidRPr="00AE54E4" w:rsidRDefault="00910517" w:rsidP="0028507F">
      <w:pPr>
        <w:rPr>
          <w:rFonts w:cs="Arial"/>
        </w:rPr>
      </w:pPr>
    </w:p>
    <w:p w14:paraId="7D661BB8" w14:textId="2DBEBD8D" w:rsidR="008F5028" w:rsidRPr="00AE54E4" w:rsidRDefault="008F5028" w:rsidP="008F5028">
      <w:pPr>
        <w:ind w:left="851"/>
        <w:jc w:val="both"/>
        <w:rPr>
          <w:rFonts w:cs="Arial"/>
        </w:rPr>
      </w:pPr>
      <w:r w:rsidRPr="00AE54E4">
        <w:rPr>
          <w:rFonts w:cs="Arial"/>
        </w:rPr>
        <w:t>Consequently your fee proposal should include an allowance for a minimum of three meetings</w:t>
      </w:r>
      <w:r w:rsidR="000D4F40" w:rsidRPr="00AE54E4">
        <w:rPr>
          <w:rFonts w:cs="Arial"/>
        </w:rPr>
        <w:t>.</w:t>
      </w:r>
      <w:r w:rsidRPr="00AE54E4">
        <w:rPr>
          <w:rFonts w:cs="Arial"/>
        </w:rPr>
        <w:t xml:space="preserve"> If you consider that additional meetings will be required, please include details of this within your proposal. </w:t>
      </w:r>
    </w:p>
    <w:p w14:paraId="1F36874E" w14:textId="0AE1E392" w:rsidR="00910517" w:rsidRPr="00AE54E4" w:rsidRDefault="00910517" w:rsidP="0028507F">
      <w:pPr>
        <w:rPr>
          <w:rFonts w:cs="Arial"/>
        </w:rPr>
      </w:pPr>
    </w:p>
    <w:p w14:paraId="566EE206" w14:textId="4E178647" w:rsidR="0028507F" w:rsidRDefault="00C0471F" w:rsidP="006F2DC7">
      <w:pPr>
        <w:pStyle w:val="Heading1"/>
        <w:numPr>
          <w:ilvl w:val="0"/>
          <w:numId w:val="21"/>
        </w:numPr>
        <w:rPr>
          <w:lang w:val="en-US"/>
        </w:rPr>
      </w:pPr>
      <w:bookmarkStart w:id="5" w:name="_Toc125379458"/>
      <w:r w:rsidRPr="00AE54E4">
        <w:rPr>
          <w:lang w:val="en-US"/>
        </w:rPr>
        <w:t>QUOTE</w:t>
      </w:r>
      <w:r w:rsidR="0028507F" w:rsidRPr="00AE54E4">
        <w:rPr>
          <w:lang w:val="en-US"/>
        </w:rPr>
        <w:t xml:space="preserve"> COMPLETION INFORMATION</w:t>
      </w:r>
      <w:bookmarkEnd w:id="5"/>
    </w:p>
    <w:p w14:paraId="7787421B" w14:textId="6B0AD9AE" w:rsidR="003B26B5" w:rsidRDefault="003B26B5" w:rsidP="003B26B5">
      <w:pPr>
        <w:rPr>
          <w:lang w:val="en-US"/>
        </w:rPr>
      </w:pPr>
    </w:p>
    <w:p w14:paraId="294B73A9" w14:textId="1CF952BF" w:rsidR="006F2DC7" w:rsidRDefault="006F2DC7" w:rsidP="006F2DC7">
      <w:pPr>
        <w:pStyle w:val="NoSpacing"/>
        <w:jc w:val="both"/>
        <w:rPr>
          <w:rFonts w:ascii="Arial" w:hAnsi="Arial" w:cs="Arial"/>
          <w:color w:val="000000"/>
          <w:sz w:val="24"/>
          <w:szCs w:val="24"/>
        </w:rPr>
      </w:pPr>
      <w:r w:rsidRPr="0008385C">
        <w:rPr>
          <w:rFonts w:ascii="Arial" w:hAnsi="Arial" w:cs="Arial"/>
          <w:color w:val="000000"/>
          <w:sz w:val="24"/>
          <w:szCs w:val="24"/>
        </w:rPr>
        <w:t>All submissions must be uploaded via the South East Business</w:t>
      </w:r>
      <w:r>
        <w:rPr>
          <w:rFonts w:ascii="Arial" w:hAnsi="Arial" w:cs="Arial"/>
          <w:color w:val="000000"/>
          <w:sz w:val="24"/>
          <w:szCs w:val="24"/>
        </w:rPr>
        <w:t xml:space="preserve"> Portal, also known as Proactis before the deadline stated in the timetable in this ITQ.</w:t>
      </w:r>
      <w:r w:rsidRPr="0008385C">
        <w:rPr>
          <w:rFonts w:ascii="Arial" w:hAnsi="Arial" w:cs="Arial"/>
          <w:color w:val="000000"/>
          <w:sz w:val="24"/>
          <w:szCs w:val="24"/>
        </w:rPr>
        <w:t xml:space="preserve"> </w:t>
      </w:r>
    </w:p>
    <w:p w14:paraId="4EA0F3DC" w14:textId="77777777" w:rsidR="006F2DC7" w:rsidRDefault="006F2DC7" w:rsidP="006F2DC7">
      <w:pPr>
        <w:pStyle w:val="NoSpacing"/>
        <w:ind w:left="720"/>
        <w:jc w:val="both"/>
        <w:rPr>
          <w:rFonts w:ascii="Arial" w:hAnsi="Arial" w:cs="Arial"/>
          <w:color w:val="000000"/>
          <w:sz w:val="24"/>
          <w:szCs w:val="24"/>
        </w:rPr>
      </w:pPr>
    </w:p>
    <w:p w14:paraId="0FB8141E" w14:textId="77777777" w:rsidR="006F2DC7" w:rsidRPr="006C1E3A" w:rsidRDefault="006F2DC7" w:rsidP="006F2DC7">
      <w:pPr>
        <w:pStyle w:val="NoSpacing"/>
        <w:jc w:val="both"/>
        <w:rPr>
          <w:rFonts w:ascii="Arial" w:hAnsi="Arial" w:cs="Arial"/>
          <w:color w:val="000000"/>
          <w:sz w:val="24"/>
          <w:szCs w:val="24"/>
        </w:rPr>
      </w:pPr>
      <w:r w:rsidRPr="006C1E3A">
        <w:rPr>
          <w:rFonts w:ascii="Arial" w:hAnsi="Arial" w:cs="Arial"/>
          <w:color w:val="000000"/>
          <w:sz w:val="24"/>
          <w:szCs w:val="24"/>
        </w:rPr>
        <w:t xml:space="preserve">Link to the portal: </w:t>
      </w:r>
      <w:hyperlink r:id="rId9" w:history="1">
        <w:r w:rsidRPr="006C1E3A">
          <w:rPr>
            <w:rFonts w:ascii="Arial" w:hAnsi="Arial" w:cs="Arial"/>
            <w:color w:val="365F91" w:themeColor="accent1" w:themeShade="BF"/>
            <w:sz w:val="24"/>
            <w:szCs w:val="24"/>
            <w:u w:val="single"/>
          </w:rPr>
          <w:t>https://sebp.due-north.com/</w:t>
        </w:r>
      </w:hyperlink>
    </w:p>
    <w:p w14:paraId="23E88A88" w14:textId="77777777" w:rsidR="006F2DC7" w:rsidRPr="0008385C" w:rsidRDefault="006F2DC7" w:rsidP="006F2DC7">
      <w:pPr>
        <w:pStyle w:val="NoSpacing"/>
        <w:jc w:val="both"/>
        <w:rPr>
          <w:rFonts w:ascii="Arial" w:hAnsi="Arial" w:cs="Arial"/>
          <w:color w:val="000000"/>
          <w:sz w:val="24"/>
          <w:szCs w:val="24"/>
        </w:rPr>
      </w:pPr>
    </w:p>
    <w:p w14:paraId="2B174FC3" w14:textId="77777777" w:rsidR="006F2DC7" w:rsidRPr="0008385C" w:rsidRDefault="006F2DC7" w:rsidP="006F2DC7">
      <w:pPr>
        <w:pStyle w:val="NoSpacing"/>
        <w:jc w:val="both"/>
        <w:rPr>
          <w:rFonts w:ascii="Arial" w:hAnsi="Arial" w:cs="Arial"/>
          <w:color w:val="000000"/>
          <w:sz w:val="24"/>
          <w:szCs w:val="24"/>
        </w:rPr>
      </w:pPr>
      <w:r w:rsidRPr="0008385C">
        <w:rPr>
          <w:rFonts w:ascii="Arial" w:hAnsi="Arial" w:cs="Arial"/>
          <w:color w:val="000000"/>
          <w:sz w:val="24"/>
          <w:szCs w:val="24"/>
        </w:rPr>
        <w:t>Your response must include:</w:t>
      </w:r>
    </w:p>
    <w:p w14:paraId="385BA2D7" w14:textId="10D1E506" w:rsidR="006F2DC7" w:rsidRPr="0008385C" w:rsidRDefault="006F2DC7" w:rsidP="006F2DC7">
      <w:pPr>
        <w:pStyle w:val="NoSpacing"/>
        <w:numPr>
          <w:ilvl w:val="0"/>
          <w:numId w:val="24"/>
        </w:numPr>
        <w:jc w:val="both"/>
        <w:rPr>
          <w:rFonts w:ascii="Arial" w:hAnsi="Arial" w:cs="Arial"/>
          <w:color w:val="000000"/>
          <w:sz w:val="24"/>
          <w:szCs w:val="24"/>
        </w:rPr>
      </w:pPr>
      <w:r w:rsidRPr="0008385C">
        <w:rPr>
          <w:rFonts w:ascii="Arial" w:hAnsi="Arial" w:cs="Arial"/>
          <w:color w:val="000000"/>
          <w:sz w:val="24"/>
          <w:szCs w:val="24"/>
        </w:rPr>
        <w:t>Com</w:t>
      </w:r>
      <w:r>
        <w:rPr>
          <w:rFonts w:ascii="Arial" w:hAnsi="Arial" w:cs="Arial"/>
          <w:color w:val="000000"/>
          <w:sz w:val="24"/>
          <w:szCs w:val="24"/>
        </w:rPr>
        <w:t>pleted Quotation Response Document including;</w:t>
      </w:r>
    </w:p>
    <w:p w14:paraId="2E82D205" w14:textId="473A7DB6" w:rsidR="006F2DC7" w:rsidRPr="0008385C" w:rsidRDefault="006F2DC7" w:rsidP="006F2DC7">
      <w:pPr>
        <w:pStyle w:val="NoSpacing"/>
        <w:numPr>
          <w:ilvl w:val="1"/>
          <w:numId w:val="25"/>
        </w:numPr>
        <w:ind w:left="1276" w:hanging="283"/>
        <w:jc w:val="both"/>
        <w:rPr>
          <w:rFonts w:ascii="Arial" w:hAnsi="Arial" w:cs="Arial"/>
          <w:color w:val="000000"/>
          <w:sz w:val="24"/>
          <w:szCs w:val="24"/>
        </w:rPr>
      </w:pPr>
      <w:r w:rsidRPr="0008385C">
        <w:rPr>
          <w:rFonts w:ascii="Arial" w:hAnsi="Arial" w:cs="Arial"/>
          <w:color w:val="000000"/>
          <w:sz w:val="24"/>
          <w:szCs w:val="24"/>
        </w:rPr>
        <w:t xml:space="preserve">Completed Schedule 1 </w:t>
      </w:r>
      <w:r>
        <w:rPr>
          <w:rFonts w:ascii="Arial" w:hAnsi="Arial" w:cs="Arial"/>
          <w:color w:val="000000"/>
          <w:sz w:val="24"/>
          <w:szCs w:val="24"/>
        </w:rPr>
        <w:t>Commercially Sensitive Information (if applicable)</w:t>
      </w:r>
      <w:r w:rsidRPr="0008385C">
        <w:rPr>
          <w:rFonts w:ascii="Arial" w:hAnsi="Arial" w:cs="Arial"/>
          <w:color w:val="000000"/>
          <w:sz w:val="24"/>
          <w:szCs w:val="24"/>
        </w:rPr>
        <w:t xml:space="preserve"> </w:t>
      </w:r>
    </w:p>
    <w:p w14:paraId="6BBFE155" w14:textId="2E154E40" w:rsidR="006F2DC7" w:rsidRDefault="006F2DC7" w:rsidP="006F2DC7">
      <w:pPr>
        <w:pStyle w:val="NoSpacing"/>
        <w:numPr>
          <w:ilvl w:val="1"/>
          <w:numId w:val="25"/>
        </w:numPr>
        <w:ind w:left="1276" w:hanging="283"/>
        <w:jc w:val="both"/>
        <w:rPr>
          <w:rFonts w:ascii="Arial" w:hAnsi="Arial" w:cs="Arial"/>
          <w:color w:val="000000"/>
          <w:sz w:val="24"/>
          <w:szCs w:val="24"/>
        </w:rPr>
      </w:pPr>
      <w:r w:rsidRPr="0008385C">
        <w:rPr>
          <w:rFonts w:ascii="Arial" w:hAnsi="Arial" w:cs="Arial"/>
          <w:color w:val="000000"/>
          <w:sz w:val="24"/>
          <w:szCs w:val="24"/>
        </w:rPr>
        <w:t xml:space="preserve">Completed Schedule 2 </w:t>
      </w:r>
      <w:r>
        <w:rPr>
          <w:rFonts w:ascii="Arial" w:hAnsi="Arial" w:cs="Arial"/>
          <w:color w:val="000000"/>
          <w:sz w:val="24"/>
          <w:szCs w:val="24"/>
        </w:rPr>
        <w:t>– Form of Quote</w:t>
      </w:r>
      <w:r w:rsidRPr="0008385C">
        <w:rPr>
          <w:rFonts w:ascii="Arial" w:hAnsi="Arial" w:cs="Arial"/>
          <w:color w:val="000000"/>
          <w:sz w:val="24"/>
          <w:szCs w:val="24"/>
        </w:rPr>
        <w:t xml:space="preserve"> </w:t>
      </w:r>
    </w:p>
    <w:p w14:paraId="3B3459B6" w14:textId="102DDB1F" w:rsidR="006F2DC7" w:rsidRDefault="006F2DC7" w:rsidP="006F2DC7">
      <w:pPr>
        <w:pStyle w:val="NoSpacing"/>
        <w:numPr>
          <w:ilvl w:val="0"/>
          <w:numId w:val="25"/>
        </w:numPr>
        <w:jc w:val="both"/>
        <w:rPr>
          <w:rFonts w:ascii="Arial" w:hAnsi="Arial" w:cs="Arial"/>
          <w:color w:val="000000"/>
          <w:sz w:val="24"/>
          <w:szCs w:val="24"/>
        </w:rPr>
      </w:pPr>
      <w:r>
        <w:rPr>
          <w:rFonts w:ascii="Arial" w:hAnsi="Arial" w:cs="Arial"/>
          <w:color w:val="000000"/>
          <w:sz w:val="24"/>
          <w:szCs w:val="24"/>
        </w:rPr>
        <w:t>Equality and Diversity Policy</w:t>
      </w:r>
    </w:p>
    <w:p w14:paraId="4A3BFB4B" w14:textId="5FE89351" w:rsidR="006F2DC7" w:rsidRDefault="006F2DC7" w:rsidP="006F2DC7">
      <w:pPr>
        <w:pStyle w:val="NoSpacing"/>
        <w:numPr>
          <w:ilvl w:val="0"/>
          <w:numId w:val="25"/>
        </w:numPr>
        <w:jc w:val="both"/>
        <w:rPr>
          <w:rFonts w:ascii="Arial" w:hAnsi="Arial" w:cs="Arial"/>
          <w:color w:val="000000"/>
          <w:sz w:val="24"/>
          <w:szCs w:val="24"/>
        </w:rPr>
      </w:pPr>
      <w:r>
        <w:rPr>
          <w:rFonts w:ascii="Arial" w:hAnsi="Arial" w:cs="Arial"/>
          <w:color w:val="000000"/>
          <w:sz w:val="24"/>
          <w:szCs w:val="24"/>
        </w:rPr>
        <w:t>Data Protection Policy and Procedures</w:t>
      </w:r>
    </w:p>
    <w:p w14:paraId="78687A37" w14:textId="7F96A444" w:rsidR="006F2DC7" w:rsidRPr="004306A6" w:rsidRDefault="006F2DC7" w:rsidP="006F2DC7">
      <w:pPr>
        <w:pStyle w:val="NoSpacing"/>
        <w:numPr>
          <w:ilvl w:val="0"/>
          <w:numId w:val="25"/>
        </w:numPr>
        <w:jc w:val="both"/>
        <w:rPr>
          <w:rFonts w:ascii="Arial" w:hAnsi="Arial" w:cs="Arial"/>
          <w:color w:val="000000"/>
          <w:sz w:val="24"/>
          <w:szCs w:val="24"/>
        </w:rPr>
      </w:pPr>
      <w:r>
        <w:rPr>
          <w:rFonts w:ascii="Arial" w:hAnsi="Arial" w:cs="Arial"/>
          <w:color w:val="000000"/>
          <w:sz w:val="24"/>
          <w:szCs w:val="24"/>
        </w:rPr>
        <w:t>Supporting documentation (to support the answers to quality questions)</w:t>
      </w:r>
    </w:p>
    <w:p w14:paraId="1A4DC6D9" w14:textId="77777777" w:rsidR="003B26B5" w:rsidRPr="003B26B5" w:rsidRDefault="003B26B5" w:rsidP="003B26B5">
      <w:pPr>
        <w:rPr>
          <w:lang w:val="en-US"/>
        </w:rPr>
      </w:pPr>
    </w:p>
    <w:p w14:paraId="76E1E03C" w14:textId="77777777" w:rsidR="0028507F" w:rsidRPr="00AE54E4" w:rsidRDefault="0028507F" w:rsidP="0028507F">
      <w:pPr>
        <w:ind w:left="720" w:hanging="720"/>
        <w:rPr>
          <w:rFonts w:cs="Arial"/>
          <w:b/>
          <w:szCs w:val="24"/>
          <w:lang w:val="en-US"/>
        </w:rPr>
      </w:pPr>
    </w:p>
    <w:p w14:paraId="526458C1" w14:textId="77777777" w:rsidR="0028507F" w:rsidRPr="00AE54E4" w:rsidRDefault="0028507F" w:rsidP="0028507F">
      <w:pPr>
        <w:ind w:left="720" w:hanging="720"/>
        <w:rPr>
          <w:rFonts w:cs="Arial"/>
          <w:b/>
          <w:szCs w:val="24"/>
          <w:lang w:val="en-US"/>
        </w:rPr>
      </w:pPr>
      <w:r w:rsidRPr="00AE54E4">
        <w:rPr>
          <w:rFonts w:cs="Arial"/>
          <w:b/>
          <w:szCs w:val="24"/>
          <w:lang w:val="en-US"/>
        </w:rPr>
        <w:t>4.1</w:t>
      </w:r>
      <w:r w:rsidRPr="00AE54E4">
        <w:rPr>
          <w:rFonts w:cs="Arial"/>
          <w:b/>
          <w:szCs w:val="24"/>
          <w:lang w:val="en-US"/>
        </w:rPr>
        <w:tab/>
        <w:t>Formalities</w:t>
      </w:r>
    </w:p>
    <w:p w14:paraId="6EADC0CC" w14:textId="77777777" w:rsidR="0028507F" w:rsidRPr="00AE54E4" w:rsidRDefault="0028507F" w:rsidP="0028507F">
      <w:pPr>
        <w:ind w:left="720" w:hanging="720"/>
        <w:rPr>
          <w:rFonts w:cs="Arial"/>
          <w:szCs w:val="24"/>
          <w:u w:val="single"/>
          <w:lang w:val="en-US"/>
        </w:rPr>
      </w:pPr>
    </w:p>
    <w:p w14:paraId="1ACA4667" w14:textId="7553EB79" w:rsidR="0028507F" w:rsidRPr="00AE54E4" w:rsidRDefault="0028507F" w:rsidP="0028507F">
      <w:pPr>
        <w:ind w:left="720"/>
        <w:rPr>
          <w:rFonts w:cs="Arial"/>
        </w:rPr>
      </w:pPr>
      <w:r w:rsidRPr="00AE54E4">
        <w:rPr>
          <w:rFonts w:cs="Arial"/>
        </w:rPr>
        <w:t xml:space="preserve">All documents comprising the </w:t>
      </w:r>
      <w:r w:rsidR="00C0471F" w:rsidRPr="00AE54E4">
        <w:rPr>
          <w:rFonts w:cs="Arial"/>
        </w:rPr>
        <w:t xml:space="preserve">Quote </w:t>
      </w:r>
      <w:r w:rsidRPr="00AE54E4">
        <w:rPr>
          <w:rFonts w:cs="Arial"/>
        </w:rPr>
        <w:t xml:space="preserve">must be submitted through the portal and will remain sealed until the deadline has passed. </w:t>
      </w:r>
    </w:p>
    <w:p w14:paraId="5CFB8D4C" w14:textId="77777777" w:rsidR="0028507F" w:rsidRPr="00AE54E4" w:rsidRDefault="0028507F" w:rsidP="0028507F">
      <w:pPr>
        <w:ind w:left="720" w:hanging="720"/>
        <w:rPr>
          <w:rFonts w:cs="Arial"/>
        </w:rPr>
      </w:pPr>
    </w:p>
    <w:p w14:paraId="39687912" w14:textId="6D2A1B2E" w:rsidR="0028507F" w:rsidRPr="00AE54E4" w:rsidRDefault="0028507F" w:rsidP="0028507F">
      <w:pPr>
        <w:ind w:left="720"/>
        <w:rPr>
          <w:rFonts w:cs="Arial"/>
        </w:rPr>
      </w:pPr>
      <w:r w:rsidRPr="00AE54E4">
        <w:rPr>
          <w:rFonts w:cs="Arial"/>
        </w:rPr>
        <w:t xml:space="preserve">The following requirements must be adhered to when submitting </w:t>
      </w:r>
      <w:r w:rsidR="00C0471F" w:rsidRPr="00AE54E4">
        <w:rPr>
          <w:rFonts w:cs="Arial"/>
        </w:rPr>
        <w:t>Quotes</w:t>
      </w:r>
      <w:r w:rsidRPr="00AE54E4">
        <w:rPr>
          <w:rFonts w:cs="Arial"/>
        </w:rPr>
        <w:t xml:space="preserve">: </w:t>
      </w:r>
    </w:p>
    <w:p w14:paraId="77F986EB" w14:textId="77777777" w:rsidR="0028507F" w:rsidRPr="00AE54E4" w:rsidRDefault="0028507F" w:rsidP="0028507F">
      <w:pPr>
        <w:ind w:left="720" w:hanging="720"/>
        <w:rPr>
          <w:rFonts w:cs="Arial"/>
        </w:rPr>
      </w:pPr>
    </w:p>
    <w:p w14:paraId="082E2ED7" w14:textId="77777777" w:rsidR="00910517" w:rsidRPr="00AE54E4" w:rsidRDefault="00910517" w:rsidP="006F2DC7">
      <w:pPr>
        <w:pStyle w:val="ListParagraph"/>
        <w:numPr>
          <w:ilvl w:val="0"/>
          <w:numId w:val="3"/>
        </w:numPr>
        <w:contextualSpacing w:val="0"/>
        <w:jc w:val="both"/>
        <w:rPr>
          <w:rFonts w:cs="Arial"/>
        </w:rPr>
      </w:pPr>
      <w:r w:rsidRPr="00AE54E4">
        <w:rPr>
          <w:rFonts w:cs="Arial"/>
        </w:rPr>
        <w:t xml:space="preserve">A clear statement confirming that your firm does not have any conflicts of interest in relation to this site. </w:t>
      </w:r>
    </w:p>
    <w:p w14:paraId="3AB9EE57" w14:textId="45426EE9" w:rsidR="0028507F" w:rsidRPr="00AE54E4" w:rsidRDefault="0028507F" w:rsidP="006F2DC7">
      <w:pPr>
        <w:pStyle w:val="ListParagraph"/>
        <w:numPr>
          <w:ilvl w:val="0"/>
          <w:numId w:val="3"/>
        </w:numPr>
        <w:ind w:left="1434" w:hanging="357"/>
        <w:rPr>
          <w:rFonts w:cs="Arial"/>
        </w:rPr>
      </w:pPr>
      <w:r w:rsidRPr="00AE54E4">
        <w:rPr>
          <w:rFonts w:cs="Arial"/>
        </w:rPr>
        <w:t>A detailed timeline and milestones for the completio</w:t>
      </w:r>
      <w:r w:rsidR="0040751D" w:rsidRPr="00AE54E4">
        <w:rPr>
          <w:rFonts w:cs="Arial"/>
        </w:rPr>
        <w:t>n of the work must be included.</w:t>
      </w:r>
    </w:p>
    <w:p w14:paraId="09F95AF2" w14:textId="79D63236" w:rsidR="0028507F" w:rsidRPr="00AE54E4" w:rsidRDefault="0028507F" w:rsidP="006F2DC7">
      <w:pPr>
        <w:pStyle w:val="ListParagraph"/>
        <w:numPr>
          <w:ilvl w:val="0"/>
          <w:numId w:val="3"/>
        </w:numPr>
        <w:ind w:left="1434" w:hanging="357"/>
        <w:rPr>
          <w:rFonts w:cs="Arial"/>
        </w:rPr>
      </w:pPr>
      <w:r w:rsidRPr="00AE54E4">
        <w:rPr>
          <w:rFonts w:cs="Arial"/>
        </w:rPr>
        <w:t>A table of Consultants individual time to be spent on the project, day rate an</w:t>
      </w:r>
      <w:r w:rsidR="0040751D" w:rsidRPr="00AE54E4">
        <w:rPr>
          <w:rFonts w:cs="Arial"/>
        </w:rPr>
        <w:t>d overall cost must be provided.</w:t>
      </w:r>
    </w:p>
    <w:p w14:paraId="4F495261" w14:textId="580F7672" w:rsidR="00910517" w:rsidRPr="00AE54E4" w:rsidRDefault="00910517" w:rsidP="006F2DC7">
      <w:pPr>
        <w:pStyle w:val="ListParagraph"/>
        <w:numPr>
          <w:ilvl w:val="0"/>
          <w:numId w:val="3"/>
        </w:numPr>
        <w:contextualSpacing w:val="0"/>
        <w:jc w:val="both"/>
        <w:rPr>
          <w:rFonts w:cs="Arial"/>
        </w:rPr>
      </w:pPr>
      <w:r w:rsidRPr="00AE54E4">
        <w:rPr>
          <w:rFonts w:cs="Arial"/>
        </w:rPr>
        <w:t>Details of any sub-consultants that you would seek to engage with to provide specialist input.  This should include a brief resume of their relevant experience, fee etc.</w:t>
      </w:r>
    </w:p>
    <w:p w14:paraId="3E22B980" w14:textId="519C49EF" w:rsidR="0028507F" w:rsidRPr="00AE54E4" w:rsidRDefault="0028507F" w:rsidP="006F2DC7">
      <w:pPr>
        <w:pStyle w:val="ListParagraph"/>
        <w:numPr>
          <w:ilvl w:val="0"/>
          <w:numId w:val="3"/>
        </w:numPr>
        <w:ind w:left="1434" w:hanging="357"/>
        <w:rPr>
          <w:rFonts w:cs="Arial"/>
        </w:rPr>
      </w:pPr>
      <w:r w:rsidRPr="00AE54E4">
        <w:rPr>
          <w:rFonts w:cs="Arial"/>
        </w:rPr>
        <w:t xml:space="preserve">Any additional pre-existing material which is necessary to support the </w:t>
      </w:r>
      <w:r w:rsidR="00C0471F" w:rsidRPr="00AE54E4">
        <w:rPr>
          <w:rFonts w:cs="Arial"/>
        </w:rPr>
        <w:t>Quote</w:t>
      </w:r>
      <w:r w:rsidRPr="00AE54E4">
        <w:rPr>
          <w:rFonts w:cs="Arial"/>
        </w:rPr>
        <w:t xml:space="preserve"> should be included as schedules with cross-references to this material in the main body of the </w:t>
      </w:r>
      <w:r w:rsidR="00C0471F" w:rsidRPr="00AE54E4">
        <w:rPr>
          <w:rFonts w:cs="Arial"/>
        </w:rPr>
        <w:t>Quote</w:t>
      </w:r>
      <w:r w:rsidRPr="00AE54E4">
        <w:rPr>
          <w:rFonts w:cs="Arial"/>
        </w:rPr>
        <w:t>. Cross-references to this IT</w:t>
      </w:r>
      <w:r w:rsidR="0027117F" w:rsidRPr="00AE54E4">
        <w:rPr>
          <w:rFonts w:cs="Arial"/>
        </w:rPr>
        <w:t>Q</w:t>
      </w:r>
      <w:r w:rsidRPr="00AE54E4">
        <w:rPr>
          <w:rFonts w:cs="Arial"/>
        </w:rPr>
        <w:t xml:space="preserve"> should also be included in the </w:t>
      </w:r>
      <w:r w:rsidR="00C0471F" w:rsidRPr="00AE54E4">
        <w:rPr>
          <w:rFonts w:cs="Arial"/>
        </w:rPr>
        <w:t>Quote</w:t>
      </w:r>
      <w:r w:rsidRPr="00AE54E4">
        <w:rPr>
          <w:rFonts w:cs="Arial"/>
        </w:rPr>
        <w:t xml:space="preserve"> whenever this is relevant. </w:t>
      </w:r>
    </w:p>
    <w:p w14:paraId="55333732" w14:textId="77777777" w:rsidR="0028507F" w:rsidRPr="00AE54E4" w:rsidRDefault="0028507F" w:rsidP="006F2DC7">
      <w:pPr>
        <w:pStyle w:val="ListParagraph"/>
        <w:numPr>
          <w:ilvl w:val="0"/>
          <w:numId w:val="3"/>
        </w:numPr>
        <w:ind w:left="1434" w:hanging="357"/>
        <w:rPr>
          <w:rFonts w:cs="Arial"/>
        </w:rPr>
      </w:pPr>
      <w:r w:rsidRPr="00AE54E4">
        <w:rPr>
          <w:rFonts w:cs="Arial"/>
        </w:rPr>
        <w:t xml:space="preserve">Where documents are embedded within other documents, Respondents must upload separate copies of the embedded documents. </w:t>
      </w:r>
    </w:p>
    <w:p w14:paraId="28D94EE2" w14:textId="73CD41F1" w:rsidR="0028507F" w:rsidRPr="00AE54E4" w:rsidRDefault="0028507F" w:rsidP="006F2DC7">
      <w:pPr>
        <w:pStyle w:val="ListParagraph"/>
        <w:numPr>
          <w:ilvl w:val="0"/>
          <w:numId w:val="3"/>
        </w:numPr>
        <w:ind w:left="1434" w:hanging="357"/>
        <w:rPr>
          <w:rFonts w:cs="Arial"/>
        </w:rPr>
      </w:pPr>
      <w:r w:rsidRPr="00AE54E4">
        <w:rPr>
          <w:rFonts w:cs="Arial"/>
        </w:rPr>
        <w:lastRenderedPageBreak/>
        <w:t xml:space="preserve">The </w:t>
      </w:r>
      <w:r w:rsidR="00C0471F" w:rsidRPr="00AE54E4">
        <w:rPr>
          <w:rFonts w:cs="Arial"/>
        </w:rPr>
        <w:t>Quote</w:t>
      </w:r>
      <w:r w:rsidRPr="00AE54E4">
        <w:rPr>
          <w:rFonts w:cs="Arial"/>
        </w:rPr>
        <w:t xml:space="preserve"> must be in English and drafted in accordance with the draft</w:t>
      </w:r>
      <w:r w:rsidR="0027117F" w:rsidRPr="00AE54E4">
        <w:rPr>
          <w:rFonts w:cs="Arial"/>
        </w:rPr>
        <w:t>ing guidance set out in this ITQ</w:t>
      </w:r>
      <w:r w:rsidRPr="00AE54E4">
        <w:rPr>
          <w:rFonts w:cs="Arial"/>
        </w:rPr>
        <w:t xml:space="preserve">. </w:t>
      </w:r>
    </w:p>
    <w:p w14:paraId="33B40626" w14:textId="77777777" w:rsidR="0028507F" w:rsidRPr="00AE54E4" w:rsidRDefault="0028507F" w:rsidP="006F2DC7">
      <w:pPr>
        <w:pStyle w:val="ListParagraph"/>
        <w:numPr>
          <w:ilvl w:val="0"/>
          <w:numId w:val="3"/>
        </w:numPr>
        <w:ind w:left="1434" w:hanging="357"/>
        <w:rPr>
          <w:rFonts w:cs="Arial"/>
        </w:rPr>
      </w:pPr>
      <w:r w:rsidRPr="00AE54E4">
        <w:rPr>
          <w:rFonts w:cs="Arial"/>
        </w:rPr>
        <w:t xml:space="preserve">A table of contents must be provided. </w:t>
      </w:r>
    </w:p>
    <w:p w14:paraId="1C5CB5AD" w14:textId="2467BEE0" w:rsidR="0028507F" w:rsidRPr="00AE54E4" w:rsidRDefault="0028507F" w:rsidP="006F2DC7">
      <w:pPr>
        <w:pStyle w:val="ListParagraph"/>
        <w:numPr>
          <w:ilvl w:val="0"/>
          <w:numId w:val="3"/>
        </w:numPr>
        <w:ind w:left="1434" w:hanging="357"/>
        <w:rPr>
          <w:rFonts w:cs="Arial"/>
        </w:rPr>
      </w:pPr>
      <w:r w:rsidRPr="00AE54E4">
        <w:rPr>
          <w:rFonts w:cs="Arial"/>
        </w:rPr>
        <w:t xml:space="preserve">The </w:t>
      </w:r>
      <w:r w:rsidR="00C0471F" w:rsidRPr="00AE54E4">
        <w:rPr>
          <w:rFonts w:cs="Arial"/>
        </w:rPr>
        <w:t>Quote</w:t>
      </w:r>
      <w:r w:rsidRPr="00AE54E4">
        <w:rPr>
          <w:rFonts w:cs="Arial"/>
        </w:rPr>
        <w:t xml:space="preserve"> must be fully cross-referenced. </w:t>
      </w:r>
    </w:p>
    <w:p w14:paraId="2BB26778" w14:textId="35CB392A" w:rsidR="0028507F" w:rsidRPr="00AE54E4" w:rsidRDefault="0028507F" w:rsidP="006F2DC7">
      <w:pPr>
        <w:pStyle w:val="ListParagraph"/>
        <w:numPr>
          <w:ilvl w:val="0"/>
          <w:numId w:val="3"/>
        </w:numPr>
        <w:ind w:left="1434" w:hanging="357"/>
        <w:rPr>
          <w:rFonts w:cs="Arial"/>
        </w:rPr>
      </w:pPr>
      <w:r w:rsidRPr="00AE54E4">
        <w:rPr>
          <w:rFonts w:cs="Arial"/>
        </w:rPr>
        <w:t xml:space="preserve">A list of supporting material must be supplied. </w:t>
      </w:r>
    </w:p>
    <w:p w14:paraId="505CE111" w14:textId="11B32D89" w:rsidR="008D7BEF" w:rsidRPr="00AE54E4" w:rsidRDefault="0012198C" w:rsidP="006F2DC7">
      <w:pPr>
        <w:pStyle w:val="ListParagraph"/>
        <w:numPr>
          <w:ilvl w:val="0"/>
          <w:numId w:val="3"/>
        </w:numPr>
        <w:ind w:left="1434" w:hanging="357"/>
        <w:rPr>
          <w:rFonts w:cs="Arial"/>
          <w:b/>
        </w:rPr>
      </w:pPr>
      <w:r w:rsidRPr="00AE54E4">
        <w:rPr>
          <w:rFonts w:cs="Arial"/>
          <w:b/>
        </w:rPr>
        <w:t>The Equality</w:t>
      </w:r>
      <w:r w:rsidR="00910517" w:rsidRPr="00AE54E4">
        <w:rPr>
          <w:rFonts w:cs="Arial"/>
          <w:b/>
        </w:rPr>
        <w:t xml:space="preserve"> and Diversity and Data Protection</w:t>
      </w:r>
      <w:r w:rsidR="008D7BEF" w:rsidRPr="00AE54E4">
        <w:rPr>
          <w:rFonts w:cs="Arial"/>
          <w:b/>
        </w:rPr>
        <w:t xml:space="preserve"> need to be included with the ITQ</w:t>
      </w:r>
      <w:r w:rsidR="00245F1A" w:rsidRPr="00AE54E4">
        <w:rPr>
          <w:rFonts w:cs="Arial"/>
          <w:b/>
        </w:rPr>
        <w:t>.</w:t>
      </w:r>
    </w:p>
    <w:p w14:paraId="76383437" w14:textId="77777777" w:rsidR="0028507F" w:rsidRPr="00AE54E4" w:rsidRDefault="0028507F" w:rsidP="0028507F">
      <w:pPr>
        <w:rPr>
          <w:rFonts w:cs="Arial"/>
        </w:rPr>
      </w:pPr>
    </w:p>
    <w:p w14:paraId="65382913" w14:textId="211FB84E" w:rsidR="0028507F" w:rsidRPr="00AE54E4" w:rsidRDefault="0028507F" w:rsidP="0028507F">
      <w:pPr>
        <w:ind w:left="720" w:hanging="720"/>
        <w:rPr>
          <w:rFonts w:cs="Arial"/>
        </w:rPr>
      </w:pPr>
      <w:r w:rsidRPr="00AE54E4">
        <w:rPr>
          <w:rFonts w:cs="Arial"/>
        </w:rPr>
        <w:tab/>
        <w:t xml:space="preserve">The </w:t>
      </w:r>
      <w:r w:rsidR="00C0471F" w:rsidRPr="00AE54E4">
        <w:rPr>
          <w:rFonts w:cs="Arial"/>
        </w:rPr>
        <w:t>Quote</w:t>
      </w:r>
      <w:r w:rsidRPr="00AE54E4">
        <w:rPr>
          <w:rFonts w:cs="Arial"/>
        </w:rPr>
        <w:t xml:space="preserve"> must be clear, concise and complete. The Council reserves the right to mark a Respondent down or exclude them from the procurement if its </w:t>
      </w:r>
      <w:r w:rsidR="00C0471F" w:rsidRPr="00AE54E4">
        <w:rPr>
          <w:rFonts w:cs="Arial"/>
        </w:rPr>
        <w:t>Quote</w:t>
      </w:r>
      <w:r w:rsidRPr="00AE54E4">
        <w:rPr>
          <w:rFonts w:cs="Arial"/>
        </w:rPr>
        <w:t xml:space="preserve"> contains any ambiguities, caveats or lacks clarity. Respondents should submit only such information as is necessary to respond effectively to this IT</w:t>
      </w:r>
      <w:r w:rsidR="0027117F" w:rsidRPr="00AE54E4">
        <w:rPr>
          <w:rFonts w:cs="Arial"/>
        </w:rPr>
        <w:t>Q</w:t>
      </w:r>
      <w:r w:rsidRPr="00AE54E4">
        <w:rPr>
          <w:rFonts w:cs="Arial"/>
        </w:rPr>
        <w:t xml:space="preserve">. </w:t>
      </w:r>
      <w:r w:rsidR="00C0471F" w:rsidRPr="00AE54E4">
        <w:rPr>
          <w:rFonts w:cs="Arial"/>
        </w:rPr>
        <w:t>Quotes</w:t>
      </w:r>
      <w:r w:rsidRPr="00AE54E4">
        <w:rPr>
          <w:rFonts w:cs="Arial"/>
        </w:rPr>
        <w:t xml:space="preserve"> will be evaluated on the basis of information submitted by the Deadline. </w:t>
      </w:r>
    </w:p>
    <w:p w14:paraId="368CAAED" w14:textId="77777777" w:rsidR="0028507F" w:rsidRPr="00AE54E4" w:rsidRDefault="0028507F" w:rsidP="0028507F">
      <w:pPr>
        <w:ind w:left="720" w:hanging="720"/>
        <w:rPr>
          <w:rFonts w:cs="Arial"/>
        </w:rPr>
      </w:pPr>
    </w:p>
    <w:p w14:paraId="4D860496" w14:textId="58EE52F7" w:rsidR="0028507F" w:rsidRPr="00AE54E4" w:rsidRDefault="0028507F" w:rsidP="0028507F">
      <w:pPr>
        <w:ind w:left="720" w:hanging="720"/>
        <w:rPr>
          <w:rFonts w:cs="Arial"/>
        </w:rPr>
      </w:pPr>
      <w:r w:rsidRPr="00AE54E4">
        <w:rPr>
          <w:rFonts w:cs="Arial"/>
        </w:rPr>
        <w:tab/>
        <w:t xml:space="preserve">The Respondent must download, complete and include a duly executed Form of </w:t>
      </w:r>
      <w:r w:rsidR="00C0471F" w:rsidRPr="00AE54E4">
        <w:rPr>
          <w:rFonts w:cs="Arial"/>
        </w:rPr>
        <w:t>Quote</w:t>
      </w:r>
      <w:r w:rsidRPr="00AE54E4">
        <w:rPr>
          <w:rFonts w:cs="Arial"/>
        </w:rPr>
        <w:t xml:space="preserve"> (Schedule 2). </w:t>
      </w:r>
    </w:p>
    <w:p w14:paraId="296ADB11" w14:textId="77777777" w:rsidR="0028507F" w:rsidRPr="00AE54E4" w:rsidRDefault="0028507F" w:rsidP="0028507F">
      <w:pPr>
        <w:ind w:left="720" w:hanging="720"/>
        <w:rPr>
          <w:rFonts w:cs="Arial"/>
        </w:rPr>
      </w:pPr>
    </w:p>
    <w:p w14:paraId="0362D639" w14:textId="61832EB6" w:rsidR="0028507F" w:rsidRPr="00AE54E4" w:rsidRDefault="0028507F" w:rsidP="0028507F">
      <w:pPr>
        <w:ind w:left="720" w:hanging="720"/>
        <w:rPr>
          <w:rFonts w:cs="Arial"/>
        </w:rPr>
      </w:pPr>
      <w:r w:rsidRPr="00AE54E4">
        <w:rPr>
          <w:rFonts w:cs="Arial"/>
        </w:rPr>
        <w:tab/>
        <w:t xml:space="preserve">Where the Respondent is a company, the </w:t>
      </w:r>
      <w:r w:rsidR="00C0471F" w:rsidRPr="00AE54E4">
        <w:rPr>
          <w:rFonts w:cs="Arial"/>
        </w:rPr>
        <w:t>Quote</w:t>
      </w:r>
      <w:r w:rsidRPr="00AE54E4">
        <w:rPr>
          <w:rFonts w:cs="Arial"/>
        </w:rPr>
        <w:t xml:space="preserve"> must be signed by a duly authorised representative of that company. Where the Respondent is a consortium, the </w:t>
      </w:r>
      <w:r w:rsidR="00C0471F" w:rsidRPr="00AE54E4">
        <w:rPr>
          <w:rFonts w:cs="Arial"/>
        </w:rPr>
        <w:t>Quote</w:t>
      </w:r>
      <w:r w:rsidRPr="00AE54E4">
        <w:rPr>
          <w:rFonts w:cs="Arial"/>
        </w:rPr>
        <w:t xml:space="preserve"> must be signed by the lead authorised representative of the consortium, which organisation shall be responsible for the performance of producing the work set out in the successful </w:t>
      </w:r>
      <w:r w:rsidR="00C0471F" w:rsidRPr="00AE54E4">
        <w:rPr>
          <w:rFonts w:cs="Arial"/>
        </w:rPr>
        <w:t>quote</w:t>
      </w:r>
      <w:r w:rsidRPr="00AE54E4">
        <w:rPr>
          <w:rFonts w:cs="Arial"/>
        </w:rPr>
        <w:t xml:space="preserve"> proposal. In the case of a partnership, all the partners should sign or, alternatively, one only may sign, in which case he must have and should state that he has Council to sign on behalf of the other partner(s). The names of all the partners should be given in full together with the trading name of the partnership. In the case of a sole trader, s/he should sign and give his/her name in full together with the name under which s/he is trading. </w:t>
      </w:r>
    </w:p>
    <w:p w14:paraId="00A3DA75" w14:textId="77777777" w:rsidR="003E1113" w:rsidRPr="00AE54E4" w:rsidRDefault="003E1113" w:rsidP="0028507F">
      <w:pPr>
        <w:ind w:left="720" w:hanging="720"/>
        <w:rPr>
          <w:rFonts w:cs="Arial"/>
        </w:rPr>
      </w:pPr>
    </w:p>
    <w:p w14:paraId="12F94550" w14:textId="77777777" w:rsidR="0028507F" w:rsidRPr="00AE54E4" w:rsidRDefault="00436E70" w:rsidP="0028507F">
      <w:pPr>
        <w:ind w:left="720" w:hanging="720"/>
        <w:rPr>
          <w:rFonts w:cs="Arial"/>
          <w:b/>
        </w:rPr>
      </w:pPr>
      <w:r w:rsidRPr="00AE54E4">
        <w:rPr>
          <w:rFonts w:cs="Arial"/>
          <w:b/>
        </w:rPr>
        <w:t>4.2</w:t>
      </w:r>
      <w:r w:rsidRPr="00AE54E4">
        <w:rPr>
          <w:rFonts w:cs="Arial"/>
          <w:b/>
        </w:rPr>
        <w:tab/>
      </w:r>
      <w:r w:rsidR="0028507F" w:rsidRPr="00AE54E4">
        <w:rPr>
          <w:rFonts w:cs="Arial"/>
          <w:b/>
        </w:rPr>
        <w:t>Executive Summary</w:t>
      </w:r>
    </w:p>
    <w:p w14:paraId="7FE4C774" w14:textId="77777777" w:rsidR="0028507F" w:rsidRPr="00AE54E4" w:rsidRDefault="0028507F" w:rsidP="0028507F">
      <w:pPr>
        <w:ind w:left="720" w:hanging="720"/>
        <w:rPr>
          <w:rFonts w:cs="Arial"/>
        </w:rPr>
      </w:pPr>
    </w:p>
    <w:p w14:paraId="06C4B297" w14:textId="7707C887" w:rsidR="0028507F" w:rsidRPr="00AE54E4" w:rsidRDefault="0028507F" w:rsidP="0028507F">
      <w:pPr>
        <w:ind w:left="720" w:hanging="720"/>
        <w:rPr>
          <w:rFonts w:cs="Arial"/>
        </w:rPr>
      </w:pPr>
      <w:r w:rsidRPr="00AE54E4">
        <w:rPr>
          <w:rFonts w:cs="Arial"/>
        </w:rPr>
        <w:tab/>
        <w:t xml:space="preserve">Each Respondent must also provide an executive summary of its </w:t>
      </w:r>
      <w:r w:rsidR="00C0471F" w:rsidRPr="00AE54E4">
        <w:rPr>
          <w:rFonts w:cs="Arial"/>
        </w:rPr>
        <w:t>Quote</w:t>
      </w:r>
      <w:r w:rsidRPr="00AE54E4">
        <w:rPr>
          <w:rFonts w:cs="Arial"/>
        </w:rPr>
        <w:t xml:space="preserve"> and include within it:- </w:t>
      </w:r>
    </w:p>
    <w:p w14:paraId="430411AA" w14:textId="77777777" w:rsidR="0028507F" w:rsidRPr="00AE54E4" w:rsidRDefault="0028507F" w:rsidP="0028507F">
      <w:pPr>
        <w:ind w:left="720" w:hanging="720"/>
        <w:rPr>
          <w:rFonts w:cs="Arial"/>
        </w:rPr>
      </w:pPr>
    </w:p>
    <w:p w14:paraId="0E267330" w14:textId="77777777" w:rsidR="0028507F" w:rsidRPr="00AE54E4" w:rsidRDefault="0028507F" w:rsidP="006F2DC7">
      <w:pPr>
        <w:pStyle w:val="ListParagraph"/>
        <w:numPr>
          <w:ilvl w:val="0"/>
          <w:numId w:val="4"/>
        </w:numPr>
        <w:rPr>
          <w:rFonts w:cs="Arial"/>
        </w:rPr>
      </w:pPr>
      <w:r w:rsidRPr="00AE54E4">
        <w:rPr>
          <w:rFonts w:cs="Arial"/>
        </w:rPr>
        <w:t xml:space="preserve">An outline of the way in which the Council’s requirements are to be met by its proposal. </w:t>
      </w:r>
    </w:p>
    <w:p w14:paraId="741DB666" w14:textId="77777777" w:rsidR="0028507F" w:rsidRPr="00AE54E4" w:rsidRDefault="0028507F" w:rsidP="006F2DC7">
      <w:pPr>
        <w:pStyle w:val="ListParagraph"/>
        <w:numPr>
          <w:ilvl w:val="0"/>
          <w:numId w:val="4"/>
        </w:numPr>
        <w:rPr>
          <w:rFonts w:cs="Arial"/>
        </w:rPr>
      </w:pPr>
      <w:r w:rsidRPr="00AE54E4">
        <w:rPr>
          <w:rFonts w:cs="Arial"/>
        </w:rPr>
        <w:t>A summary of all the services offered by the R</w:t>
      </w:r>
      <w:r w:rsidR="0027117F" w:rsidRPr="00AE54E4">
        <w:rPr>
          <w:rFonts w:cs="Arial"/>
        </w:rPr>
        <w:t>espondent in response to the ITQ</w:t>
      </w:r>
      <w:r w:rsidRPr="00AE54E4">
        <w:rPr>
          <w:rFonts w:cs="Arial"/>
        </w:rPr>
        <w:t xml:space="preserve">. </w:t>
      </w:r>
    </w:p>
    <w:p w14:paraId="32EB6F93" w14:textId="28809BE0" w:rsidR="0028507F" w:rsidRPr="00AE54E4" w:rsidRDefault="0028507F" w:rsidP="006F2DC7">
      <w:pPr>
        <w:pStyle w:val="ListParagraph"/>
        <w:numPr>
          <w:ilvl w:val="0"/>
          <w:numId w:val="4"/>
        </w:numPr>
        <w:rPr>
          <w:rFonts w:cs="Arial"/>
        </w:rPr>
      </w:pPr>
      <w:r w:rsidRPr="00AE54E4">
        <w:rPr>
          <w:rFonts w:cs="Arial"/>
        </w:rPr>
        <w:t xml:space="preserve">Proposed timeline, clearly indicating the Respondents approach towards minimising the effect of their work on </w:t>
      </w:r>
      <w:r w:rsidR="005126ED" w:rsidRPr="00AE54E4">
        <w:rPr>
          <w:rFonts w:cs="Arial"/>
        </w:rPr>
        <w:t xml:space="preserve">any </w:t>
      </w:r>
      <w:r w:rsidRPr="00AE54E4">
        <w:rPr>
          <w:rFonts w:cs="Arial"/>
        </w:rPr>
        <w:t xml:space="preserve">electoral period </w:t>
      </w:r>
      <w:r w:rsidR="005126ED" w:rsidRPr="00AE54E4">
        <w:rPr>
          <w:rFonts w:cs="Arial"/>
        </w:rPr>
        <w:t>that may occur during the lifetime of this project.</w:t>
      </w:r>
    </w:p>
    <w:p w14:paraId="0D243272" w14:textId="77777777" w:rsidR="0028507F" w:rsidRPr="00AE54E4" w:rsidRDefault="0028507F" w:rsidP="006F2DC7">
      <w:pPr>
        <w:pStyle w:val="ListParagraph"/>
        <w:numPr>
          <w:ilvl w:val="0"/>
          <w:numId w:val="4"/>
        </w:numPr>
        <w:rPr>
          <w:rFonts w:cs="Arial"/>
        </w:rPr>
      </w:pPr>
      <w:r w:rsidRPr="00AE54E4">
        <w:rPr>
          <w:rFonts w:cs="Arial"/>
        </w:rPr>
        <w:t xml:space="preserve">An overview of the Respondent’s overall costs and proposals in relation to pricing. </w:t>
      </w:r>
    </w:p>
    <w:p w14:paraId="40B0034D" w14:textId="77777777" w:rsidR="0028507F" w:rsidRPr="00AE54E4" w:rsidRDefault="0028507F" w:rsidP="006F2DC7">
      <w:pPr>
        <w:pStyle w:val="ListParagraph"/>
        <w:numPr>
          <w:ilvl w:val="0"/>
          <w:numId w:val="4"/>
        </w:numPr>
        <w:rPr>
          <w:rFonts w:cs="Arial"/>
        </w:rPr>
      </w:pPr>
      <w:r w:rsidRPr="00AE54E4">
        <w:rPr>
          <w:rFonts w:cs="Arial"/>
        </w:rPr>
        <w:t xml:space="preserve">A clear statement of whether it is a consortium or a group of companies with one supplier. </w:t>
      </w:r>
    </w:p>
    <w:p w14:paraId="3B7B6A2E" w14:textId="77777777" w:rsidR="0028507F" w:rsidRPr="00AE54E4" w:rsidRDefault="0028507F" w:rsidP="006F2DC7">
      <w:pPr>
        <w:pStyle w:val="ListParagraph"/>
        <w:numPr>
          <w:ilvl w:val="0"/>
          <w:numId w:val="4"/>
        </w:numPr>
        <w:rPr>
          <w:rFonts w:cs="Arial"/>
        </w:rPr>
      </w:pPr>
      <w:r w:rsidRPr="00AE54E4">
        <w:rPr>
          <w:rFonts w:cs="Arial"/>
        </w:rPr>
        <w:t xml:space="preserve">A clear statement of its commitment to meet the Council’s requirements and the pricing, payment and performance model. </w:t>
      </w:r>
    </w:p>
    <w:p w14:paraId="08A52BF3" w14:textId="00A4D6A9" w:rsidR="0028507F" w:rsidRPr="00AE54E4" w:rsidRDefault="0028507F" w:rsidP="006F2DC7">
      <w:pPr>
        <w:pStyle w:val="ListParagraph"/>
        <w:numPr>
          <w:ilvl w:val="0"/>
          <w:numId w:val="4"/>
        </w:numPr>
        <w:rPr>
          <w:rFonts w:cs="Arial"/>
        </w:rPr>
      </w:pPr>
      <w:r w:rsidRPr="00AE54E4">
        <w:rPr>
          <w:rFonts w:cs="Arial"/>
        </w:rPr>
        <w:lastRenderedPageBreak/>
        <w:t xml:space="preserve">Confirmation that the </w:t>
      </w:r>
      <w:r w:rsidR="00C0471F" w:rsidRPr="00AE54E4">
        <w:rPr>
          <w:rFonts w:cs="Arial"/>
        </w:rPr>
        <w:t>Quote(s)</w:t>
      </w:r>
      <w:r w:rsidRPr="00AE54E4">
        <w:rPr>
          <w:rFonts w:cs="Arial"/>
        </w:rPr>
        <w:t xml:space="preserve"> will remain open for a period of 90 days. </w:t>
      </w:r>
    </w:p>
    <w:p w14:paraId="4393B676" w14:textId="77777777" w:rsidR="0028507F" w:rsidRPr="00AE54E4" w:rsidRDefault="0028507F" w:rsidP="0028507F">
      <w:pPr>
        <w:ind w:left="720"/>
        <w:rPr>
          <w:rFonts w:cs="Arial"/>
        </w:rPr>
      </w:pPr>
    </w:p>
    <w:p w14:paraId="14CB94A7" w14:textId="77777777" w:rsidR="0028507F" w:rsidRPr="00AE54E4" w:rsidRDefault="0028507F" w:rsidP="0028507F">
      <w:pPr>
        <w:ind w:left="720" w:hanging="720"/>
        <w:rPr>
          <w:rFonts w:cs="Arial"/>
        </w:rPr>
      </w:pPr>
      <w:r w:rsidRPr="00AE54E4">
        <w:rPr>
          <w:rFonts w:cs="Arial"/>
        </w:rPr>
        <w:tab/>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14:paraId="61127E97" w14:textId="77777777" w:rsidR="0028507F" w:rsidRPr="00AE54E4" w:rsidRDefault="0028507F" w:rsidP="0028507F">
      <w:pPr>
        <w:ind w:left="720" w:hanging="720"/>
        <w:rPr>
          <w:rFonts w:cs="Arial"/>
        </w:rPr>
      </w:pPr>
    </w:p>
    <w:p w14:paraId="1D8F6257" w14:textId="77777777" w:rsidR="0028507F" w:rsidRPr="00AE54E4" w:rsidRDefault="0028507F" w:rsidP="0028507F">
      <w:pPr>
        <w:ind w:left="720" w:hanging="720"/>
        <w:rPr>
          <w:rFonts w:cs="Arial"/>
        </w:rPr>
      </w:pPr>
    </w:p>
    <w:p w14:paraId="20BC6445" w14:textId="4ECBCF5C" w:rsidR="0028507F" w:rsidRPr="00AE54E4" w:rsidRDefault="00436E70" w:rsidP="0028507F">
      <w:pPr>
        <w:ind w:left="720" w:hanging="720"/>
        <w:rPr>
          <w:rFonts w:cs="Arial"/>
          <w:b/>
        </w:rPr>
      </w:pPr>
      <w:r w:rsidRPr="00AE54E4">
        <w:rPr>
          <w:rFonts w:cs="Arial"/>
          <w:b/>
        </w:rPr>
        <w:t>4.3</w:t>
      </w:r>
      <w:r w:rsidRPr="00AE54E4">
        <w:rPr>
          <w:rFonts w:cs="Arial"/>
          <w:b/>
        </w:rPr>
        <w:tab/>
      </w:r>
      <w:r w:rsidR="0028507F" w:rsidRPr="00AE54E4">
        <w:rPr>
          <w:rFonts w:cs="Arial"/>
          <w:b/>
        </w:rPr>
        <w:t xml:space="preserve">Submission of </w:t>
      </w:r>
      <w:r w:rsidR="00C0471F" w:rsidRPr="00AE54E4">
        <w:rPr>
          <w:rFonts w:cs="Arial"/>
          <w:b/>
        </w:rPr>
        <w:t>Quotes</w:t>
      </w:r>
    </w:p>
    <w:p w14:paraId="765F7B89" w14:textId="77777777" w:rsidR="0028507F" w:rsidRPr="00AE54E4" w:rsidRDefault="0028507F" w:rsidP="0028507F">
      <w:pPr>
        <w:ind w:left="720" w:hanging="720"/>
        <w:rPr>
          <w:rFonts w:cs="Arial"/>
        </w:rPr>
      </w:pPr>
    </w:p>
    <w:p w14:paraId="48133A1E" w14:textId="0E4273E6" w:rsidR="0028507F" w:rsidRPr="00AE54E4" w:rsidRDefault="0028507F" w:rsidP="0028507F">
      <w:pPr>
        <w:ind w:left="720" w:hanging="720"/>
        <w:rPr>
          <w:rFonts w:cs="Arial"/>
        </w:rPr>
      </w:pPr>
      <w:r w:rsidRPr="00AE54E4">
        <w:rPr>
          <w:rFonts w:cs="Arial"/>
        </w:rPr>
        <w:tab/>
        <w:t xml:space="preserve">Each Respondent must submit a </w:t>
      </w:r>
      <w:r w:rsidR="00C0471F" w:rsidRPr="00AE54E4">
        <w:rPr>
          <w:rFonts w:cs="Arial"/>
        </w:rPr>
        <w:t>quote</w:t>
      </w:r>
      <w:r w:rsidRPr="00AE54E4">
        <w:rPr>
          <w:rFonts w:cs="Arial"/>
        </w:rPr>
        <w:t xml:space="preserve"> meeting the Council’s minimum requirements, operating as a standalone bid and not be dependent on any other bid or any other factors external to the </w:t>
      </w:r>
      <w:r w:rsidR="00C0471F" w:rsidRPr="00AE54E4">
        <w:rPr>
          <w:rFonts w:cs="Arial"/>
        </w:rPr>
        <w:t>Quote</w:t>
      </w:r>
      <w:r w:rsidRPr="00AE54E4">
        <w:rPr>
          <w:rFonts w:cs="Arial"/>
        </w:rPr>
        <w:t xml:space="preserve"> itself. That is, the </w:t>
      </w:r>
      <w:r w:rsidR="00C0471F" w:rsidRPr="00AE54E4">
        <w:rPr>
          <w:rFonts w:cs="Arial"/>
        </w:rPr>
        <w:t>Quote</w:t>
      </w:r>
      <w:r w:rsidRPr="00AE54E4">
        <w:rPr>
          <w:rFonts w:cs="Arial"/>
        </w:rPr>
        <w:t xml:space="preserve"> must be capable of being accepted by the Council in its own right. </w:t>
      </w:r>
      <w:r w:rsidR="00143599" w:rsidRPr="00AE54E4">
        <w:rPr>
          <w:rFonts w:cs="Arial"/>
        </w:rPr>
        <w:t>Please see section 5.1 regarding mandatory requirements.</w:t>
      </w:r>
    </w:p>
    <w:p w14:paraId="24A97AC6" w14:textId="77777777" w:rsidR="0028507F" w:rsidRPr="00AE54E4" w:rsidRDefault="0028507F" w:rsidP="0028507F">
      <w:pPr>
        <w:ind w:left="720" w:hanging="720"/>
        <w:rPr>
          <w:rFonts w:cs="Arial"/>
        </w:rPr>
      </w:pPr>
    </w:p>
    <w:p w14:paraId="14D7CAA9" w14:textId="77777777" w:rsidR="0028507F" w:rsidRPr="00AE54E4" w:rsidRDefault="0028507F" w:rsidP="0028507F">
      <w:pPr>
        <w:ind w:firstLine="720"/>
        <w:rPr>
          <w:rFonts w:cs="Arial"/>
        </w:rPr>
      </w:pPr>
    </w:p>
    <w:p w14:paraId="358668DF" w14:textId="77777777" w:rsidR="0028507F" w:rsidRPr="00AE54E4" w:rsidRDefault="00436E70" w:rsidP="00436E70">
      <w:pPr>
        <w:rPr>
          <w:rFonts w:cs="Arial"/>
          <w:b/>
        </w:rPr>
      </w:pPr>
      <w:r w:rsidRPr="00AE54E4">
        <w:rPr>
          <w:rFonts w:cs="Arial"/>
          <w:b/>
        </w:rPr>
        <w:t>4.4</w:t>
      </w:r>
      <w:r w:rsidRPr="00AE54E4">
        <w:rPr>
          <w:rFonts w:cs="Arial"/>
          <w:b/>
        </w:rPr>
        <w:tab/>
      </w:r>
      <w:r w:rsidR="0028507F" w:rsidRPr="00AE54E4">
        <w:rPr>
          <w:rFonts w:cs="Arial"/>
          <w:b/>
        </w:rPr>
        <w:t xml:space="preserve">Warnings and disclaimers </w:t>
      </w:r>
    </w:p>
    <w:p w14:paraId="007204B0" w14:textId="77777777" w:rsidR="0028507F" w:rsidRPr="00AE54E4" w:rsidRDefault="0028507F" w:rsidP="0028507F">
      <w:pPr>
        <w:ind w:firstLine="720"/>
        <w:rPr>
          <w:rFonts w:cs="Arial"/>
        </w:rPr>
      </w:pPr>
    </w:p>
    <w:p w14:paraId="312A86F7" w14:textId="77777777" w:rsidR="0028507F" w:rsidRPr="00AE54E4" w:rsidRDefault="0028507F" w:rsidP="0028507F">
      <w:pPr>
        <w:ind w:left="720" w:hanging="720"/>
        <w:rPr>
          <w:rFonts w:cs="Arial"/>
        </w:rPr>
      </w:pPr>
      <w:r w:rsidRPr="00AE54E4">
        <w:rPr>
          <w:rFonts w:cs="Arial"/>
        </w:rPr>
        <w:tab/>
        <w:t>While the i</w:t>
      </w:r>
      <w:r w:rsidR="0027117F" w:rsidRPr="00AE54E4">
        <w:rPr>
          <w:rFonts w:cs="Arial"/>
        </w:rPr>
        <w:t>nformation contained in this ITQ</w:t>
      </w:r>
      <w:r w:rsidRPr="00AE54E4">
        <w:rPr>
          <w:rFonts w:cs="Arial"/>
        </w:rPr>
        <w:t xml:space="preserve"> is believed to be correct at the time of issue, the Council, its advisors and any other awarding authorities will not accept any liability for its accuracy, adequacy or completeness, nor will any express or implied warranty be given. This exclusion extends to liability in relation to any statement, opinion or conclusion contained i</w:t>
      </w:r>
      <w:r w:rsidR="0027117F" w:rsidRPr="00AE54E4">
        <w:rPr>
          <w:rFonts w:cs="Arial"/>
        </w:rPr>
        <w:t>n or any omission from, this ITQ</w:t>
      </w:r>
      <w:r w:rsidRPr="00AE54E4">
        <w:rPr>
          <w:rFonts w:cs="Arial"/>
        </w:rPr>
        <w:t xml:space="preserve"> (including its appendices) and in respect of any other written or oral communication transmitted (or otherwise made available) to any Respondents. This exclusion does not extend to any fraudulent misrepresentation made by or on behalf of the Council. </w:t>
      </w:r>
    </w:p>
    <w:p w14:paraId="47887FF5" w14:textId="77777777" w:rsidR="0028507F" w:rsidRPr="00AE54E4" w:rsidRDefault="0028507F" w:rsidP="0028507F">
      <w:pPr>
        <w:rPr>
          <w:rFonts w:cs="Arial"/>
        </w:rPr>
      </w:pPr>
    </w:p>
    <w:p w14:paraId="5AA1B142" w14:textId="77777777" w:rsidR="0028507F" w:rsidRPr="00AE54E4" w:rsidRDefault="0027117F" w:rsidP="0028507F">
      <w:pPr>
        <w:ind w:left="720" w:hanging="720"/>
        <w:rPr>
          <w:rFonts w:cs="Arial"/>
        </w:rPr>
      </w:pPr>
      <w:r w:rsidRPr="00AE54E4">
        <w:rPr>
          <w:rFonts w:cs="Arial"/>
        </w:rPr>
        <w:tab/>
        <w:t>Neither the issue of this ITQ</w:t>
      </w:r>
      <w:r w:rsidR="0028507F" w:rsidRPr="00AE54E4">
        <w:rPr>
          <w:rFonts w:cs="Arial"/>
        </w:rPr>
        <w:t xml:space="preserve">, nor any of the information presented in it, should be regarded as a commitment or representation on the part of the Council (or any other person) to enter into a contractual arrangement. </w:t>
      </w:r>
    </w:p>
    <w:p w14:paraId="081A0BA5" w14:textId="77777777" w:rsidR="0028507F" w:rsidRPr="00AE54E4" w:rsidRDefault="0028507F" w:rsidP="0028507F">
      <w:pPr>
        <w:ind w:firstLine="720"/>
        <w:rPr>
          <w:rFonts w:cs="Arial"/>
          <w:u w:val="single"/>
        </w:rPr>
      </w:pPr>
    </w:p>
    <w:p w14:paraId="6A3D642C" w14:textId="77777777" w:rsidR="0028507F" w:rsidRPr="00AE54E4" w:rsidRDefault="00436E70" w:rsidP="00436E70">
      <w:pPr>
        <w:rPr>
          <w:rFonts w:cs="Arial"/>
          <w:b/>
        </w:rPr>
      </w:pPr>
      <w:r w:rsidRPr="00AE54E4">
        <w:rPr>
          <w:rFonts w:cs="Arial"/>
          <w:b/>
        </w:rPr>
        <w:t>4.5</w:t>
      </w:r>
      <w:r w:rsidRPr="00AE54E4">
        <w:rPr>
          <w:rFonts w:cs="Arial"/>
          <w:b/>
        </w:rPr>
        <w:tab/>
      </w:r>
      <w:r w:rsidR="0028507F" w:rsidRPr="00AE54E4">
        <w:rPr>
          <w:rFonts w:cs="Arial"/>
          <w:b/>
        </w:rPr>
        <w:t xml:space="preserve">Confidentiality and Freedom of Information </w:t>
      </w:r>
    </w:p>
    <w:p w14:paraId="5038E4C5" w14:textId="77777777" w:rsidR="0028507F" w:rsidRPr="00AE54E4" w:rsidRDefault="0028507F" w:rsidP="0028507F">
      <w:pPr>
        <w:rPr>
          <w:rFonts w:cs="Arial"/>
        </w:rPr>
      </w:pPr>
    </w:p>
    <w:p w14:paraId="31AD2BEA" w14:textId="6C56926D" w:rsidR="0028507F" w:rsidRPr="00AE54E4" w:rsidRDefault="0027117F" w:rsidP="0028507F">
      <w:pPr>
        <w:ind w:left="720" w:hanging="720"/>
        <w:rPr>
          <w:rFonts w:cs="Arial"/>
        </w:rPr>
      </w:pPr>
      <w:r w:rsidRPr="00AE54E4">
        <w:rPr>
          <w:rFonts w:cs="Arial"/>
        </w:rPr>
        <w:tab/>
        <w:t>This ITQ</w:t>
      </w:r>
      <w:r w:rsidR="0028507F" w:rsidRPr="00AE54E4">
        <w:rPr>
          <w:rFonts w:cs="Arial"/>
        </w:rPr>
        <w:t xml:space="preserve"> is made available on condition that its contents (including the fact that the </w:t>
      </w:r>
      <w:r w:rsidRPr="00AE54E4">
        <w:rPr>
          <w:rFonts w:cs="Arial"/>
        </w:rPr>
        <w:t>Respondent has received this ITQ</w:t>
      </w:r>
      <w:r w:rsidR="0028507F" w:rsidRPr="00AE54E4">
        <w:rPr>
          <w:rFonts w:cs="Arial"/>
        </w:rPr>
        <w:t xml:space="preserve">) is kept confidential by the Respondent and is not copied, reproduced, distributed or passed to any other person at any time, except for the purpose of enabling the Respondent to submit a </w:t>
      </w:r>
      <w:r w:rsidR="00C0471F" w:rsidRPr="00AE54E4">
        <w:rPr>
          <w:rFonts w:cs="Arial"/>
        </w:rPr>
        <w:t>Quote</w:t>
      </w:r>
      <w:r w:rsidR="0028507F" w:rsidRPr="00AE54E4">
        <w:rPr>
          <w:rFonts w:cs="Arial"/>
        </w:rPr>
        <w:t xml:space="preserve">. </w:t>
      </w:r>
    </w:p>
    <w:p w14:paraId="5B7A7B62" w14:textId="77777777" w:rsidR="0028507F" w:rsidRPr="00AE54E4" w:rsidRDefault="0028507F" w:rsidP="0028507F">
      <w:pPr>
        <w:ind w:left="720" w:hanging="720"/>
        <w:rPr>
          <w:rFonts w:cs="Arial"/>
        </w:rPr>
      </w:pPr>
    </w:p>
    <w:p w14:paraId="04DC5478" w14:textId="77777777" w:rsidR="0028507F" w:rsidRPr="00AE54E4" w:rsidRDefault="0028507F" w:rsidP="0028507F">
      <w:pPr>
        <w:ind w:left="720" w:hanging="720"/>
        <w:rPr>
          <w:rFonts w:cs="Arial"/>
        </w:rPr>
      </w:pPr>
      <w:r w:rsidRPr="00AE54E4">
        <w:rPr>
          <w:rFonts w:cs="Arial"/>
        </w:rPr>
        <w:tab/>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14:paraId="13A1285C" w14:textId="77777777" w:rsidR="0028507F" w:rsidRPr="00AE54E4" w:rsidRDefault="0028507F" w:rsidP="0028507F">
      <w:pPr>
        <w:ind w:left="720" w:hanging="720"/>
        <w:rPr>
          <w:rFonts w:cs="Arial"/>
        </w:rPr>
      </w:pPr>
    </w:p>
    <w:p w14:paraId="2895FDB5" w14:textId="77777777" w:rsidR="0028507F" w:rsidRPr="00AE54E4" w:rsidRDefault="0028507F" w:rsidP="0028507F">
      <w:pPr>
        <w:ind w:left="720" w:hanging="720"/>
        <w:rPr>
          <w:rFonts w:cs="Arial"/>
        </w:rPr>
      </w:pPr>
      <w:r w:rsidRPr="00AE54E4">
        <w:rPr>
          <w:rFonts w:cs="Arial"/>
        </w:rPr>
        <w:tab/>
        <w:t xml:space="preserve">Respondents should be aware that, in compliance with its transparency obligations, the Council routinely publishes details of its contract(s), including </w:t>
      </w:r>
      <w:r w:rsidRPr="00AE54E4">
        <w:rPr>
          <w:rFonts w:cs="Arial"/>
        </w:rPr>
        <w:lastRenderedPageBreak/>
        <w:t xml:space="preserve">the values and the identities of its suppliers on its website without consulting the provider of that information. </w:t>
      </w:r>
    </w:p>
    <w:p w14:paraId="1D32C9A5" w14:textId="77777777" w:rsidR="0028507F" w:rsidRPr="00AE54E4" w:rsidRDefault="0028507F" w:rsidP="0028507F">
      <w:pPr>
        <w:ind w:left="720" w:hanging="720"/>
        <w:rPr>
          <w:rFonts w:cs="Arial"/>
        </w:rPr>
      </w:pPr>
    </w:p>
    <w:p w14:paraId="406E7DF5" w14:textId="77777777" w:rsidR="0028507F" w:rsidRPr="00AE54E4" w:rsidRDefault="0028507F" w:rsidP="0028507F">
      <w:pPr>
        <w:ind w:left="720" w:hanging="720"/>
        <w:rPr>
          <w:rFonts w:cs="Arial"/>
        </w:rPr>
      </w:pPr>
      <w:r w:rsidRPr="00AE54E4">
        <w:rPr>
          <w:rFonts w:cs="Arial"/>
        </w:rPr>
        <w:tab/>
        <w:t xml:space="preserve">The Council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14:paraId="69E2F0A0" w14:textId="77777777" w:rsidR="0028507F" w:rsidRPr="00AE54E4" w:rsidRDefault="0028507F" w:rsidP="0028507F">
      <w:pPr>
        <w:ind w:left="720" w:hanging="720"/>
        <w:rPr>
          <w:rFonts w:cs="Arial"/>
        </w:rPr>
      </w:pPr>
    </w:p>
    <w:p w14:paraId="4236150C" w14:textId="77777777" w:rsidR="0028507F" w:rsidRPr="00AE54E4" w:rsidRDefault="0028507F" w:rsidP="0028507F">
      <w:pPr>
        <w:ind w:left="720" w:hanging="720"/>
        <w:rPr>
          <w:rFonts w:cs="Arial"/>
        </w:rPr>
      </w:pPr>
      <w:r w:rsidRPr="00AE54E4">
        <w:rPr>
          <w:rFonts w:cs="Arial"/>
        </w:rPr>
        <w:tab/>
        <w:t xml:space="preserve">Therefore, Respondents are responsible for ensuring that any confidential or commercially sensitive information, the disclosure of which would be likely to diminish the Respondents competitive edge, has been clearly identified to the Council in the template provided at Schedule 1. </w:t>
      </w:r>
    </w:p>
    <w:p w14:paraId="2FD24EEB" w14:textId="77777777" w:rsidR="0028507F" w:rsidRPr="00AE54E4" w:rsidRDefault="0028507F" w:rsidP="0028507F">
      <w:pPr>
        <w:ind w:left="720" w:hanging="720"/>
        <w:rPr>
          <w:rFonts w:cs="Arial"/>
        </w:rPr>
      </w:pPr>
    </w:p>
    <w:p w14:paraId="322A53E1" w14:textId="77777777" w:rsidR="0028507F" w:rsidRPr="00AE54E4" w:rsidRDefault="0028507F" w:rsidP="0028507F">
      <w:pPr>
        <w:ind w:left="720" w:hanging="720"/>
        <w:rPr>
          <w:rFonts w:cs="Arial"/>
        </w:rPr>
      </w:pPr>
    </w:p>
    <w:p w14:paraId="1CE0B5A8" w14:textId="77777777" w:rsidR="0028507F" w:rsidRPr="00AE54E4" w:rsidRDefault="00436E70" w:rsidP="0028507F">
      <w:pPr>
        <w:ind w:left="720" w:hanging="720"/>
        <w:rPr>
          <w:rFonts w:cs="Arial"/>
          <w:b/>
        </w:rPr>
      </w:pPr>
      <w:r w:rsidRPr="00AE54E4">
        <w:rPr>
          <w:rFonts w:cs="Arial"/>
          <w:b/>
        </w:rPr>
        <w:t>4.6</w:t>
      </w:r>
      <w:r w:rsidRPr="00AE54E4">
        <w:rPr>
          <w:rFonts w:cs="Arial"/>
          <w:b/>
        </w:rPr>
        <w:tab/>
      </w:r>
      <w:r w:rsidR="0028507F" w:rsidRPr="00AE54E4">
        <w:rPr>
          <w:rFonts w:cs="Arial"/>
          <w:b/>
        </w:rPr>
        <w:t>Publicity</w:t>
      </w:r>
    </w:p>
    <w:p w14:paraId="73A5BC7A" w14:textId="77777777" w:rsidR="0028507F" w:rsidRPr="00AE54E4" w:rsidRDefault="0028507F" w:rsidP="0028507F">
      <w:pPr>
        <w:ind w:left="720" w:hanging="720"/>
        <w:rPr>
          <w:rFonts w:cs="Arial"/>
        </w:rPr>
      </w:pPr>
    </w:p>
    <w:p w14:paraId="383C9B58" w14:textId="359BDF96" w:rsidR="0028507F" w:rsidRPr="00AE54E4" w:rsidRDefault="0028507F" w:rsidP="0028507F">
      <w:pPr>
        <w:ind w:left="720" w:hanging="720"/>
        <w:rPr>
          <w:rFonts w:cs="Arial"/>
        </w:rPr>
      </w:pPr>
      <w:r w:rsidRPr="00AE54E4">
        <w:rPr>
          <w:rFonts w:cs="Arial"/>
        </w:rPr>
        <w:tab/>
        <w:t>No publicity regarding the Services or the award of any</w:t>
      </w:r>
      <w:r w:rsidR="00C0471F" w:rsidRPr="00AE54E4">
        <w:rPr>
          <w:rFonts w:cs="Arial"/>
        </w:rPr>
        <w:t xml:space="preserve"> quote</w:t>
      </w:r>
      <w:r w:rsidRPr="00AE54E4">
        <w:rPr>
          <w:rFonts w:cs="Arial"/>
        </w:rPr>
        <w:t xml:space="preserve"> will be permitted unless and until the Council has given express written consent to the relevant communication. For example, no statements may be made to the media regarding the nature of any </w:t>
      </w:r>
      <w:r w:rsidR="00C0471F" w:rsidRPr="00AE54E4">
        <w:rPr>
          <w:rFonts w:cs="Arial"/>
        </w:rPr>
        <w:t>Quote</w:t>
      </w:r>
      <w:r w:rsidRPr="00AE54E4">
        <w:rPr>
          <w:rFonts w:cs="Arial"/>
        </w:rPr>
        <w:t xml:space="preserve">, its contents or any proposals relating to it without the prior written consent of the Council. </w:t>
      </w:r>
    </w:p>
    <w:p w14:paraId="08203EBD" w14:textId="77777777" w:rsidR="0028507F" w:rsidRPr="00AE54E4" w:rsidRDefault="0028507F" w:rsidP="0028507F">
      <w:pPr>
        <w:ind w:left="720" w:hanging="720"/>
        <w:rPr>
          <w:rFonts w:cs="Arial"/>
        </w:rPr>
      </w:pPr>
    </w:p>
    <w:p w14:paraId="58137BE0" w14:textId="2A21C53D" w:rsidR="0028507F" w:rsidRPr="00AE54E4" w:rsidRDefault="0028507F" w:rsidP="0028507F">
      <w:pPr>
        <w:ind w:left="720" w:hanging="720"/>
        <w:rPr>
          <w:rFonts w:cs="Arial"/>
        </w:rPr>
      </w:pPr>
    </w:p>
    <w:p w14:paraId="7E842872" w14:textId="77777777" w:rsidR="0028507F" w:rsidRPr="00AE54E4" w:rsidRDefault="00436E70" w:rsidP="0028507F">
      <w:pPr>
        <w:ind w:left="720" w:hanging="720"/>
        <w:rPr>
          <w:rFonts w:cs="Arial"/>
          <w:b/>
        </w:rPr>
      </w:pPr>
      <w:r w:rsidRPr="00AE54E4">
        <w:rPr>
          <w:rFonts w:cs="Arial"/>
          <w:b/>
        </w:rPr>
        <w:t>4.7</w:t>
      </w:r>
      <w:r w:rsidRPr="00AE54E4">
        <w:rPr>
          <w:rFonts w:cs="Arial"/>
          <w:b/>
        </w:rPr>
        <w:tab/>
      </w:r>
      <w:r w:rsidR="0028507F" w:rsidRPr="00AE54E4">
        <w:rPr>
          <w:rFonts w:cs="Arial"/>
          <w:b/>
        </w:rPr>
        <w:t>Respondent conduct and conflicts of interest</w:t>
      </w:r>
    </w:p>
    <w:p w14:paraId="2F10A915" w14:textId="77777777" w:rsidR="0028507F" w:rsidRPr="00AE54E4" w:rsidRDefault="0028507F" w:rsidP="0028507F">
      <w:pPr>
        <w:ind w:left="720" w:hanging="720"/>
        <w:rPr>
          <w:rFonts w:cs="Arial"/>
        </w:rPr>
      </w:pPr>
    </w:p>
    <w:p w14:paraId="2D335449" w14:textId="77777777" w:rsidR="0028507F" w:rsidRPr="00AE54E4" w:rsidRDefault="0028507F" w:rsidP="0028507F">
      <w:pPr>
        <w:ind w:left="720" w:hanging="720"/>
        <w:rPr>
          <w:rFonts w:cs="Arial"/>
        </w:rPr>
      </w:pPr>
      <w:r w:rsidRPr="00AE54E4">
        <w:rPr>
          <w:rFonts w:cs="Arial"/>
        </w:rPr>
        <w:tab/>
        <w:t xml:space="preserve">Any attempt by Respondents or their advisors to influence the award process in any way may result in the Respondent being disqualified. Specifically, Respondents shall not directly or indirectly at any time: </w:t>
      </w:r>
    </w:p>
    <w:p w14:paraId="25353D34" w14:textId="77777777" w:rsidR="0028507F" w:rsidRPr="00AE54E4" w:rsidRDefault="0028507F" w:rsidP="0028507F">
      <w:pPr>
        <w:ind w:left="720" w:hanging="720"/>
        <w:rPr>
          <w:rFonts w:cs="Arial"/>
        </w:rPr>
      </w:pPr>
    </w:p>
    <w:p w14:paraId="0679AEB7" w14:textId="37DD413A" w:rsidR="0028507F" w:rsidRPr="00AE54E4" w:rsidRDefault="0028507F" w:rsidP="006F2DC7">
      <w:pPr>
        <w:pStyle w:val="ListParagraph"/>
        <w:numPr>
          <w:ilvl w:val="0"/>
          <w:numId w:val="5"/>
        </w:numPr>
        <w:rPr>
          <w:rFonts w:cs="Arial"/>
        </w:rPr>
      </w:pPr>
      <w:r w:rsidRPr="00AE54E4">
        <w:rPr>
          <w:rFonts w:cs="Arial"/>
        </w:rPr>
        <w:t xml:space="preserve">Devise or amend the content of their </w:t>
      </w:r>
      <w:r w:rsidR="00C0471F" w:rsidRPr="00AE54E4">
        <w:rPr>
          <w:rFonts w:cs="Arial"/>
        </w:rPr>
        <w:t>Quote</w:t>
      </w:r>
      <w:r w:rsidRPr="00AE54E4">
        <w:rPr>
          <w:rFonts w:cs="Arial"/>
        </w:rPr>
        <w:t xml:space="preserve"> in accordance with any agreement or arrangement with any other person, other than in good faith with a person who is a proposed partner, supplier, or provider of finance. </w:t>
      </w:r>
    </w:p>
    <w:p w14:paraId="05304626" w14:textId="5A5ED9DD" w:rsidR="0028507F" w:rsidRPr="00AE54E4" w:rsidRDefault="0028507F" w:rsidP="006F2DC7">
      <w:pPr>
        <w:pStyle w:val="ListParagraph"/>
        <w:numPr>
          <w:ilvl w:val="0"/>
          <w:numId w:val="5"/>
        </w:numPr>
        <w:rPr>
          <w:rFonts w:cs="Arial"/>
        </w:rPr>
      </w:pPr>
      <w:r w:rsidRPr="00AE54E4">
        <w:rPr>
          <w:rFonts w:cs="Arial"/>
        </w:rPr>
        <w:t xml:space="preserve">Enter into any agreement or arrangement with any other person as to the form or content of any other </w:t>
      </w:r>
      <w:r w:rsidR="00C0471F" w:rsidRPr="00AE54E4">
        <w:rPr>
          <w:rFonts w:cs="Arial"/>
        </w:rPr>
        <w:t>Quote</w:t>
      </w:r>
      <w:r w:rsidRPr="00AE54E4">
        <w:rPr>
          <w:rFonts w:cs="Arial"/>
        </w:rPr>
        <w:t xml:space="preserve">, or offer to pay any sum of money or valuable consideration to any person to effect changes to the form or content of any other </w:t>
      </w:r>
      <w:r w:rsidR="00C0471F" w:rsidRPr="00AE54E4">
        <w:rPr>
          <w:rFonts w:cs="Arial"/>
        </w:rPr>
        <w:t>Quote</w:t>
      </w:r>
      <w:r w:rsidRPr="00AE54E4">
        <w:rPr>
          <w:rFonts w:cs="Arial"/>
        </w:rPr>
        <w:t xml:space="preserve">. </w:t>
      </w:r>
    </w:p>
    <w:p w14:paraId="27FFE4F7" w14:textId="03D8EC73" w:rsidR="0028507F" w:rsidRPr="00AE54E4" w:rsidRDefault="0028507F" w:rsidP="006F2DC7">
      <w:pPr>
        <w:pStyle w:val="ListParagraph"/>
        <w:numPr>
          <w:ilvl w:val="0"/>
          <w:numId w:val="5"/>
        </w:numPr>
        <w:rPr>
          <w:rFonts w:cs="Arial"/>
        </w:rPr>
      </w:pPr>
      <w:r w:rsidRPr="00AE54E4">
        <w:rPr>
          <w:rFonts w:cs="Arial"/>
        </w:rPr>
        <w:t xml:space="preserve">Enter into any agreement or arrangement with any other person that has the effect of prohibiting or excluding that person from submitting a </w:t>
      </w:r>
      <w:r w:rsidR="00C0471F" w:rsidRPr="00AE54E4">
        <w:rPr>
          <w:rFonts w:cs="Arial"/>
        </w:rPr>
        <w:t>Quote</w:t>
      </w:r>
      <w:r w:rsidRPr="00AE54E4">
        <w:rPr>
          <w:rFonts w:cs="Arial"/>
        </w:rPr>
        <w:t xml:space="preserve">. </w:t>
      </w:r>
    </w:p>
    <w:p w14:paraId="1EFFA44F" w14:textId="77777777" w:rsidR="0028507F" w:rsidRPr="00AE54E4" w:rsidRDefault="0028507F" w:rsidP="006F2DC7">
      <w:pPr>
        <w:pStyle w:val="ListParagraph"/>
        <w:numPr>
          <w:ilvl w:val="0"/>
          <w:numId w:val="5"/>
        </w:numPr>
        <w:rPr>
          <w:rFonts w:cs="Arial"/>
        </w:rPr>
      </w:pPr>
      <w:r w:rsidRPr="00AE54E4">
        <w:rPr>
          <w:rFonts w:cs="Arial"/>
        </w:rPr>
        <w:t xml:space="preserve">Canvass the Council or any employees or agents of the Council in relation to this procurement. </w:t>
      </w:r>
    </w:p>
    <w:p w14:paraId="504F369A" w14:textId="33F3A03D" w:rsidR="0028507F" w:rsidRPr="00AE54E4" w:rsidRDefault="0028507F" w:rsidP="006F2DC7">
      <w:pPr>
        <w:pStyle w:val="ListParagraph"/>
        <w:numPr>
          <w:ilvl w:val="0"/>
          <w:numId w:val="5"/>
        </w:numPr>
        <w:rPr>
          <w:rFonts w:cs="Arial"/>
        </w:rPr>
      </w:pPr>
      <w:r w:rsidRPr="00AE54E4">
        <w:rPr>
          <w:rFonts w:cs="Arial"/>
        </w:rPr>
        <w:t xml:space="preserve">Attempt to obtain information from any of the employees or agents of the Council or their advisors concerning another Respondent or </w:t>
      </w:r>
      <w:r w:rsidR="00C0471F" w:rsidRPr="00AE54E4">
        <w:rPr>
          <w:rFonts w:cs="Arial"/>
        </w:rPr>
        <w:t>Quote</w:t>
      </w:r>
      <w:r w:rsidRPr="00AE54E4">
        <w:rPr>
          <w:rFonts w:cs="Arial"/>
        </w:rPr>
        <w:t xml:space="preserve">. </w:t>
      </w:r>
    </w:p>
    <w:p w14:paraId="09EE8BDD" w14:textId="77777777" w:rsidR="0028507F" w:rsidRPr="00AE54E4" w:rsidRDefault="0028507F" w:rsidP="0028507F">
      <w:pPr>
        <w:ind w:left="720"/>
        <w:rPr>
          <w:rFonts w:cs="Arial"/>
        </w:rPr>
      </w:pPr>
    </w:p>
    <w:p w14:paraId="1F784F90" w14:textId="77777777" w:rsidR="0028507F" w:rsidRPr="00AE54E4" w:rsidRDefault="0028507F" w:rsidP="0028507F">
      <w:pPr>
        <w:ind w:left="720"/>
        <w:rPr>
          <w:rFonts w:cs="Arial"/>
        </w:rPr>
      </w:pPr>
      <w:r w:rsidRPr="00AE54E4">
        <w:rPr>
          <w:rFonts w:cs="Arial"/>
        </w:rPr>
        <w:t xml:space="preserve">Respondents are responsible for ensuring that no conflicts of interest exist between the Respondent and its advisers, and the Council and its advisors. </w:t>
      </w:r>
      <w:r w:rsidRPr="00AE54E4">
        <w:rPr>
          <w:rFonts w:cs="Arial"/>
        </w:rPr>
        <w:lastRenderedPageBreak/>
        <w:t xml:space="preserve">Any Respondent who fails to comply with this requirement may be disqualified from the procurement at the discretion of the Council. </w:t>
      </w:r>
    </w:p>
    <w:p w14:paraId="65911C94" w14:textId="77777777" w:rsidR="0028507F" w:rsidRPr="00AE54E4" w:rsidRDefault="0028507F" w:rsidP="0028507F">
      <w:pPr>
        <w:rPr>
          <w:rFonts w:cs="Arial"/>
        </w:rPr>
      </w:pPr>
    </w:p>
    <w:p w14:paraId="0B024EBB" w14:textId="77777777" w:rsidR="0028507F" w:rsidRPr="00AE54E4" w:rsidRDefault="0028507F" w:rsidP="0028507F">
      <w:pPr>
        <w:rPr>
          <w:rFonts w:cs="Arial"/>
        </w:rPr>
      </w:pPr>
      <w:r w:rsidRPr="00AE54E4">
        <w:rPr>
          <w:rFonts w:cs="Arial"/>
        </w:rPr>
        <w:tab/>
      </w:r>
    </w:p>
    <w:p w14:paraId="7EC30247" w14:textId="77777777" w:rsidR="003B26B5" w:rsidRDefault="003B26B5">
      <w:pPr>
        <w:rPr>
          <w:rFonts w:cs="Arial"/>
          <w:b/>
        </w:rPr>
      </w:pPr>
      <w:r>
        <w:rPr>
          <w:rFonts w:cs="Arial"/>
          <w:b/>
        </w:rPr>
        <w:br w:type="page"/>
      </w:r>
    </w:p>
    <w:p w14:paraId="72932429" w14:textId="0F45AB22" w:rsidR="0028507F" w:rsidRPr="00AE54E4" w:rsidRDefault="00436E70" w:rsidP="00436E70">
      <w:pPr>
        <w:rPr>
          <w:rFonts w:cs="Arial"/>
          <w:b/>
        </w:rPr>
      </w:pPr>
      <w:r w:rsidRPr="00AE54E4">
        <w:rPr>
          <w:rFonts w:cs="Arial"/>
          <w:b/>
        </w:rPr>
        <w:lastRenderedPageBreak/>
        <w:t>4.8</w:t>
      </w:r>
      <w:r w:rsidRPr="00AE54E4">
        <w:rPr>
          <w:rFonts w:cs="Arial"/>
          <w:b/>
        </w:rPr>
        <w:tab/>
      </w:r>
      <w:r w:rsidR="0028507F" w:rsidRPr="00AE54E4">
        <w:rPr>
          <w:rFonts w:cs="Arial"/>
          <w:b/>
        </w:rPr>
        <w:t>Council’s rights</w:t>
      </w:r>
    </w:p>
    <w:p w14:paraId="11DF3CFF" w14:textId="77777777" w:rsidR="0028507F" w:rsidRPr="00AE54E4" w:rsidRDefault="0028507F" w:rsidP="0028507F">
      <w:pPr>
        <w:rPr>
          <w:rFonts w:cs="Arial"/>
        </w:rPr>
      </w:pPr>
    </w:p>
    <w:p w14:paraId="3C33BF1B" w14:textId="77777777" w:rsidR="0028507F" w:rsidRPr="00AE54E4" w:rsidRDefault="0028507F" w:rsidP="0028507F">
      <w:pPr>
        <w:ind w:left="720" w:hanging="720"/>
        <w:rPr>
          <w:rFonts w:cs="Arial"/>
        </w:rPr>
      </w:pPr>
      <w:r w:rsidRPr="00AE54E4">
        <w:rPr>
          <w:rFonts w:cs="Arial"/>
        </w:rPr>
        <w:tab/>
        <w:t xml:space="preserve">The Council reserves the right to: </w:t>
      </w:r>
    </w:p>
    <w:p w14:paraId="283738B1" w14:textId="77777777" w:rsidR="0028507F" w:rsidRPr="00AE54E4" w:rsidRDefault="0028507F" w:rsidP="0028507F">
      <w:pPr>
        <w:ind w:left="720" w:hanging="720"/>
        <w:rPr>
          <w:rFonts w:cs="Arial"/>
        </w:rPr>
      </w:pPr>
    </w:p>
    <w:p w14:paraId="69869585" w14:textId="77777777" w:rsidR="0028507F" w:rsidRPr="00AE54E4" w:rsidRDefault="0028507F" w:rsidP="006F2DC7">
      <w:pPr>
        <w:pStyle w:val="ListParagraph"/>
        <w:numPr>
          <w:ilvl w:val="0"/>
          <w:numId w:val="6"/>
        </w:numPr>
        <w:rPr>
          <w:rFonts w:cs="Arial"/>
        </w:rPr>
      </w:pPr>
      <w:r w:rsidRPr="00AE54E4">
        <w:rPr>
          <w:rFonts w:cs="Arial"/>
        </w:rPr>
        <w:t>Waive or change the requirements of this IT</w:t>
      </w:r>
      <w:r w:rsidR="0027117F" w:rsidRPr="00AE54E4">
        <w:rPr>
          <w:rFonts w:cs="Arial"/>
        </w:rPr>
        <w:t>Q</w:t>
      </w:r>
      <w:r w:rsidRPr="00AE54E4">
        <w:rPr>
          <w:rFonts w:cs="Arial"/>
        </w:rPr>
        <w:t xml:space="preserve"> from time to time without prior (or any) notice being given by the Council. </w:t>
      </w:r>
    </w:p>
    <w:p w14:paraId="6B230A7F" w14:textId="77777777" w:rsidR="0028507F" w:rsidRPr="00AE54E4" w:rsidRDefault="0028507F" w:rsidP="006F2DC7">
      <w:pPr>
        <w:pStyle w:val="ListParagraph"/>
        <w:numPr>
          <w:ilvl w:val="0"/>
          <w:numId w:val="6"/>
        </w:numPr>
        <w:rPr>
          <w:rFonts w:cs="Arial"/>
        </w:rPr>
      </w:pPr>
      <w:r w:rsidRPr="00AE54E4">
        <w:rPr>
          <w:rFonts w:cs="Arial"/>
        </w:rPr>
        <w:t xml:space="preserve">Seek clarification or documents in respect of a Respondent’s submission. </w:t>
      </w:r>
    </w:p>
    <w:p w14:paraId="3A569BA7" w14:textId="2457214C" w:rsidR="0028507F" w:rsidRPr="00AE54E4" w:rsidRDefault="0028507F" w:rsidP="006F2DC7">
      <w:pPr>
        <w:pStyle w:val="ListParagraph"/>
        <w:numPr>
          <w:ilvl w:val="0"/>
          <w:numId w:val="6"/>
        </w:numPr>
        <w:rPr>
          <w:rFonts w:cs="Arial"/>
        </w:rPr>
      </w:pPr>
      <w:r w:rsidRPr="00AE54E4">
        <w:rPr>
          <w:rFonts w:cs="Arial"/>
        </w:rPr>
        <w:t xml:space="preserve">Disqualify any Respondent that does not submit a compliant </w:t>
      </w:r>
      <w:r w:rsidR="00C0471F" w:rsidRPr="00AE54E4">
        <w:rPr>
          <w:rFonts w:cs="Arial"/>
        </w:rPr>
        <w:t>Quote</w:t>
      </w:r>
      <w:r w:rsidRPr="00AE54E4">
        <w:rPr>
          <w:rFonts w:cs="Arial"/>
        </w:rPr>
        <w:t xml:space="preserve"> in accordance with the instructions in this IT</w:t>
      </w:r>
      <w:r w:rsidR="0027117F" w:rsidRPr="00AE54E4">
        <w:rPr>
          <w:rFonts w:cs="Arial"/>
        </w:rPr>
        <w:t>Q</w:t>
      </w:r>
      <w:r w:rsidRPr="00AE54E4">
        <w:rPr>
          <w:rFonts w:cs="Arial"/>
        </w:rPr>
        <w:t xml:space="preserve">. </w:t>
      </w:r>
    </w:p>
    <w:p w14:paraId="279E36B4" w14:textId="057B4E11" w:rsidR="0028507F" w:rsidRPr="00AE54E4" w:rsidRDefault="0028507F" w:rsidP="006F2DC7">
      <w:pPr>
        <w:pStyle w:val="ListParagraph"/>
        <w:numPr>
          <w:ilvl w:val="0"/>
          <w:numId w:val="6"/>
        </w:numPr>
        <w:rPr>
          <w:rFonts w:cs="Arial"/>
        </w:rPr>
      </w:pPr>
      <w:r w:rsidRPr="00AE54E4">
        <w:rPr>
          <w:rFonts w:cs="Arial"/>
        </w:rPr>
        <w:t xml:space="preserve">Disqualify any Respondent that is guilty of serious misrepresentation in relation to its </w:t>
      </w:r>
      <w:r w:rsidR="00C0471F" w:rsidRPr="00AE54E4">
        <w:rPr>
          <w:rFonts w:cs="Arial"/>
        </w:rPr>
        <w:t>Quote</w:t>
      </w:r>
      <w:r w:rsidRPr="00AE54E4">
        <w:rPr>
          <w:rFonts w:cs="Arial"/>
        </w:rPr>
        <w:t>, expression of interest, or the I</w:t>
      </w:r>
      <w:r w:rsidR="00C0471F" w:rsidRPr="00AE54E4">
        <w:rPr>
          <w:rFonts w:cs="Arial"/>
        </w:rPr>
        <w:t>TQ</w:t>
      </w:r>
      <w:r w:rsidRPr="00AE54E4">
        <w:rPr>
          <w:rFonts w:cs="Arial"/>
        </w:rPr>
        <w:t xml:space="preserve"> process. </w:t>
      </w:r>
    </w:p>
    <w:p w14:paraId="7BA5537B" w14:textId="666E9A85" w:rsidR="0028507F" w:rsidRPr="00AE54E4" w:rsidRDefault="0027117F" w:rsidP="006F2DC7">
      <w:pPr>
        <w:pStyle w:val="ListParagraph"/>
        <w:numPr>
          <w:ilvl w:val="0"/>
          <w:numId w:val="6"/>
        </w:numPr>
        <w:rPr>
          <w:rFonts w:cs="Arial"/>
        </w:rPr>
      </w:pPr>
      <w:r w:rsidRPr="00AE54E4">
        <w:rPr>
          <w:rFonts w:cs="Arial"/>
        </w:rPr>
        <w:t>Withdraw this ITQ</w:t>
      </w:r>
      <w:r w:rsidR="0028507F" w:rsidRPr="00AE54E4">
        <w:rPr>
          <w:rFonts w:cs="Arial"/>
        </w:rPr>
        <w:t xml:space="preserve"> at any time, or to re-invite </w:t>
      </w:r>
      <w:r w:rsidR="00C0471F" w:rsidRPr="00AE54E4">
        <w:rPr>
          <w:rFonts w:cs="Arial"/>
        </w:rPr>
        <w:t>q</w:t>
      </w:r>
      <w:r w:rsidR="0028507F" w:rsidRPr="00AE54E4">
        <w:rPr>
          <w:rFonts w:cs="Arial"/>
        </w:rPr>
        <w:t xml:space="preserve">uotations on the same or any alternative basis. </w:t>
      </w:r>
    </w:p>
    <w:p w14:paraId="10808973" w14:textId="3C2AD0EF" w:rsidR="0028507F" w:rsidRPr="00AE54E4" w:rsidRDefault="0028507F" w:rsidP="006F2DC7">
      <w:pPr>
        <w:pStyle w:val="ListParagraph"/>
        <w:numPr>
          <w:ilvl w:val="0"/>
          <w:numId w:val="6"/>
        </w:numPr>
        <w:rPr>
          <w:rFonts w:cs="Arial"/>
        </w:rPr>
      </w:pPr>
      <w:r w:rsidRPr="00AE54E4">
        <w:rPr>
          <w:rFonts w:cs="Arial"/>
        </w:rPr>
        <w:t xml:space="preserve">Choose not to award any </w:t>
      </w:r>
      <w:r w:rsidR="00C0471F" w:rsidRPr="00AE54E4">
        <w:rPr>
          <w:rFonts w:cs="Arial"/>
        </w:rPr>
        <w:t>quote</w:t>
      </w:r>
      <w:r w:rsidRPr="00AE54E4">
        <w:rPr>
          <w:rFonts w:cs="Arial"/>
        </w:rPr>
        <w:t xml:space="preserve"> as a result of the current procurement process. </w:t>
      </w:r>
    </w:p>
    <w:p w14:paraId="2E25CCAE" w14:textId="77777777" w:rsidR="0028507F" w:rsidRPr="00AE54E4" w:rsidRDefault="0028507F" w:rsidP="0028507F">
      <w:pPr>
        <w:ind w:left="720"/>
        <w:rPr>
          <w:rFonts w:cs="Arial"/>
        </w:rPr>
      </w:pPr>
    </w:p>
    <w:p w14:paraId="7B2A091F" w14:textId="54F376AB" w:rsidR="0028507F" w:rsidRDefault="0028507F" w:rsidP="0028507F">
      <w:pPr>
        <w:ind w:left="720"/>
        <w:rPr>
          <w:rFonts w:cs="Arial"/>
        </w:rPr>
      </w:pPr>
      <w:r w:rsidRPr="00AE54E4">
        <w:rPr>
          <w:rFonts w:cs="Arial"/>
        </w:rPr>
        <w:t>Make whatever changes it sees fit to the Timetable, structure or content of the procurement process, depending on approvals processes or for any other reason</w:t>
      </w:r>
      <w:r w:rsidR="0012198C" w:rsidRPr="00AE54E4">
        <w:rPr>
          <w:rFonts w:cs="Arial"/>
        </w:rPr>
        <w:t>.</w:t>
      </w:r>
      <w:r w:rsidRPr="00AE54E4">
        <w:rPr>
          <w:rFonts w:cs="Arial"/>
        </w:rPr>
        <w:t xml:space="preserve"> </w:t>
      </w:r>
    </w:p>
    <w:p w14:paraId="1B1C5F3B" w14:textId="77777777" w:rsidR="003B26B5" w:rsidRPr="00AE54E4" w:rsidRDefault="003B26B5" w:rsidP="0028507F">
      <w:pPr>
        <w:ind w:left="720"/>
        <w:rPr>
          <w:rFonts w:cs="Arial"/>
        </w:rPr>
      </w:pPr>
    </w:p>
    <w:p w14:paraId="2A17C0EE" w14:textId="77777777" w:rsidR="0028507F" w:rsidRPr="00AE54E4" w:rsidRDefault="00436E70" w:rsidP="00436E70">
      <w:pPr>
        <w:rPr>
          <w:rFonts w:cs="Arial"/>
          <w:b/>
        </w:rPr>
      </w:pPr>
      <w:r w:rsidRPr="00AE54E4">
        <w:rPr>
          <w:rFonts w:cs="Arial"/>
          <w:b/>
        </w:rPr>
        <w:t>4.9</w:t>
      </w:r>
      <w:r w:rsidRPr="00AE54E4">
        <w:rPr>
          <w:rFonts w:cs="Arial"/>
          <w:b/>
        </w:rPr>
        <w:tab/>
      </w:r>
      <w:r w:rsidR="0028507F" w:rsidRPr="00AE54E4">
        <w:rPr>
          <w:rFonts w:cs="Arial"/>
          <w:b/>
        </w:rPr>
        <w:t>Bid costs</w:t>
      </w:r>
    </w:p>
    <w:p w14:paraId="6C512E92" w14:textId="77777777" w:rsidR="0028507F" w:rsidRPr="00AE54E4" w:rsidRDefault="0028507F" w:rsidP="0028507F">
      <w:pPr>
        <w:ind w:left="720"/>
        <w:rPr>
          <w:rFonts w:cs="Arial"/>
        </w:rPr>
      </w:pPr>
    </w:p>
    <w:p w14:paraId="01748C28" w14:textId="77777777" w:rsidR="0028507F" w:rsidRPr="00AE54E4" w:rsidRDefault="0028507F" w:rsidP="0028507F">
      <w:pPr>
        <w:ind w:left="720" w:hanging="720"/>
        <w:rPr>
          <w:rFonts w:cs="Arial"/>
        </w:rPr>
      </w:pPr>
      <w:r w:rsidRPr="00AE54E4">
        <w:rPr>
          <w:rFonts w:cs="Arial"/>
        </w:rPr>
        <w:tab/>
        <w:t>The Council will not be liable for any bid costs, expenditure, work or effort incurred by a Respondent in proceeding with or participating in this procurement, including if the procurement process is terminated or amended by the Council.</w:t>
      </w:r>
    </w:p>
    <w:p w14:paraId="6F318A68" w14:textId="3674056C" w:rsidR="0028507F" w:rsidRPr="00AE54E4" w:rsidRDefault="0028507F" w:rsidP="0028507F">
      <w:pPr>
        <w:ind w:left="720" w:hanging="720"/>
        <w:rPr>
          <w:rFonts w:cs="Arial"/>
          <w:szCs w:val="24"/>
          <w:u w:val="single"/>
          <w:lang w:val="en-US"/>
        </w:rPr>
      </w:pPr>
    </w:p>
    <w:p w14:paraId="4B9B4B5C" w14:textId="77777777" w:rsidR="003B26B5" w:rsidRDefault="003B26B5">
      <w:pPr>
        <w:rPr>
          <w:rFonts w:eastAsiaTheme="majorEastAsia" w:cstheme="majorBidi"/>
          <w:b/>
          <w:sz w:val="28"/>
          <w:szCs w:val="32"/>
          <w:lang w:val="en-US"/>
        </w:rPr>
      </w:pPr>
      <w:bookmarkStart w:id="6" w:name="_Toc125379459"/>
      <w:r>
        <w:rPr>
          <w:lang w:val="en-US"/>
        </w:rPr>
        <w:br w:type="page"/>
      </w:r>
    </w:p>
    <w:p w14:paraId="5A97BA9B" w14:textId="71545705" w:rsidR="0028507F" w:rsidRPr="00AE54E4" w:rsidRDefault="00C0471F" w:rsidP="006F2DC7">
      <w:pPr>
        <w:pStyle w:val="Heading1"/>
        <w:numPr>
          <w:ilvl w:val="0"/>
          <w:numId w:val="21"/>
        </w:numPr>
        <w:rPr>
          <w:lang w:val="en-US"/>
        </w:rPr>
      </w:pPr>
      <w:r w:rsidRPr="00AE54E4">
        <w:rPr>
          <w:lang w:val="en-US"/>
        </w:rPr>
        <w:lastRenderedPageBreak/>
        <w:t>QUOTE</w:t>
      </w:r>
      <w:r w:rsidR="00436E70" w:rsidRPr="00AE54E4">
        <w:rPr>
          <w:lang w:val="en-US"/>
        </w:rPr>
        <w:t xml:space="preserve"> EVALUATION MODEL</w:t>
      </w:r>
      <w:bookmarkEnd w:id="6"/>
    </w:p>
    <w:p w14:paraId="09DEB73C" w14:textId="77777777" w:rsidR="0028507F" w:rsidRPr="00AE54E4" w:rsidRDefault="0028507F" w:rsidP="0028507F">
      <w:pPr>
        <w:ind w:left="720" w:hanging="720"/>
        <w:rPr>
          <w:rFonts w:cs="Arial"/>
          <w:b/>
          <w:szCs w:val="24"/>
          <w:lang w:val="en-US"/>
        </w:rPr>
      </w:pPr>
    </w:p>
    <w:p w14:paraId="402833FE" w14:textId="77777777" w:rsidR="0028507F" w:rsidRPr="00AE54E4" w:rsidRDefault="00436E70" w:rsidP="0028507F">
      <w:pPr>
        <w:ind w:left="720" w:hanging="720"/>
        <w:rPr>
          <w:rFonts w:cs="Arial"/>
          <w:szCs w:val="24"/>
          <w:u w:val="single"/>
          <w:lang w:val="en-US"/>
        </w:rPr>
      </w:pPr>
      <w:r w:rsidRPr="00AE54E4">
        <w:rPr>
          <w:rFonts w:cs="Arial"/>
          <w:b/>
          <w:szCs w:val="24"/>
          <w:lang w:val="en-US"/>
        </w:rPr>
        <w:t>5.1</w:t>
      </w:r>
      <w:r w:rsidRPr="00AE54E4">
        <w:rPr>
          <w:rFonts w:cs="Arial"/>
          <w:b/>
          <w:szCs w:val="24"/>
          <w:lang w:val="en-US"/>
        </w:rPr>
        <w:tab/>
      </w:r>
      <w:r w:rsidR="0028507F" w:rsidRPr="00AE54E4">
        <w:rPr>
          <w:rFonts w:cs="Arial"/>
          <w:b/>
          <w:szCs w:val="24"/>
          <w:lang w:val="en-US"/>
        </w:rPr>
        <w:t>Award Criteria and Evaluation Criteria</w:t>
      </w:r>
    </w:p>
    <w:p w14:paraId="615F5DC7" w14:textId="77777777" w:rsidR="0028507F" w:rsidRPr="00AE54E4" w:rsidRDefault="0028507F" w:rsidP="0028507F">
      <w:pPr>
        <w:ind w:left="720" w:hanging="720"/>
        <w:rPr>
          <w:rFonts w:cs="Arial"/>
          <w:b/>
          <w:szCs w:val="24"/>
          <w:lang w:val="en-US"/>
        </w:rPr>
      </w:pPr>
    </w:p>
    <w:p w14:paraId="229D9893" w14:textId="519E3AE3" w:rsidR="0028507F" w:rsidRPr="00AE54E4" w:rsidRDefault="0028507F" w:rsidP="0028507F">
      <w:pPr>
        <w:ind w:left="720" w:hanging="720"/>
        <w:rPr>
          <w:rFonts w:cs="Arial"/>
          <w:szCs w:val="24"/>
          <w:lang w:val="en-US"/>
        </w:rPr>
      </w:pPr>
      <w:r w:rsidRPr="00AE54E4">
        <w:rPr>
          <w:rFonts w:cs="Arial"/>
          <w:szCs w:val="24"/>
          <w:lang w:val="en-US"/>
        </w:rPr>
        <w:tab/>
        <w:t xml:space="preserve">Any </w:t>
      </w:r>
      <w:r w:rsidR="00C0471F" w:rsidRPr="00AE54E4">
        <w:rPr>
          <w:rFonts w:cs="Arial"/>
          <w:szCs w:val="24"/>
          <w:lang w:val="en-US"/>
        </w:rPr>
        <w:t>quote(s)</w:t>
      </w:r>
      <w:r w:rsidRPr="00AE54E4">
        <w:rPr>
          <w:rFonts w:cs="Arial"/>
          <w:szCs w:val="24"/>
          <w:lang w:val="en-US"/>
        </w:rPr>
        <w:t xml:space="preserve"> awarded as a result of this procurement will be awarded on the basis of the offer is the most economically advantageous to the Council. The Award Criteria are:</w:t>
      </w:r>
    </w:p>
    <w:p w14:paraId="116744DB" w14:textId="21277CAF" w:rsidR="0028507F" w:rsidRPr="00AE54E4" w:rsidRDefault="008F5028" w:rsidP="006F2DC7">
      <w:pPr>
        <w:pStyle w:val="ListParagraph"/>
        <w:numPr>
          <w:ilvl w:val="0"/>
          <w:numId w:val="7"/>
        </w:numPr>
        <w:rPr>
          <w:rFonts w:cs="Arial"/>
          <w:szCs w:val="24"/>
          <w:lang w:val="en-US"/>
        </w:rPr>
      </w:pPr>
      <w:r w:rsidRPr="00AE54E4">
        <w:rPr>
          <w:rFonts w:cs="Arial"/>
          <w:szCs w:val="24"/>
          <w:lang w:val="en-US"/>
        </w:rPr>
        <w:t>70</w:t>
      </w:r>
      <w:r w:rsidR="0028507F" w:rsidRPr="00AE54E4">
        <w:rPr>
          <w:rFonts w:cs="Arial"/>
          <w:szCs w:val="24"/>
          <w:lang w:val="en-US"/>
        </w:rPr>
        <w:t>% technical or quality</w:t>
      </w:r>
    </w:p>
    <w:p w14:paraId="41C9452C" w14:textId="404A9C15" w:rsidR="0028507F" w:rsidRPr="00AE54E4" w:rsidRDefault="008F5028" w:rsidP="006F2DC7">
      <w:pPr>
        <w:pStyle w:val="ListParagraph"/>
        <w:numPr>
          <w:ilvl w:val="0"/>
          <w:numId w:val="7"/>
        </w:numPr>
        <w:rPr>
          <w:rFonts w:cs="Arial"/>
          <w:szCs w:val="24"/>
          <w:lang w:val="en-US"/>
        </w:rPr>
      </w:pPr>
      <w:r w:rsidRPr="00AE54E4">
        <w:rPr>
          <w:rFonts w:cs="Arial"/>
          <w:szCs w:val="24"/>
          <w:lang w:val="en-US"/>
        </w:rPr>
        <w:t>30</w:t>
      </w:r>
      <w:r w:rsidR="0028507F" w:rsidRPr="00AE54E4">
        <w:rPr>
          <w:rFonts w:cs="Arial"/>
          <w:szCs w:val="24"/>
          <w:lang w:val="en-US"/>
        </w:rPr>
        <w:t>% cost</w:t>
      </w:r>
    </w:p>
    <w:p w14:paraId="616F8AFD" w14:textId="77777777" w:rsidR="0028507F" w:rsidRPr="00AE54E4" w:rsidRDefault="0028507F" w:rsidP="0028507F">
      <w:pPr>
        <w:rPr>
          <w:rFonts w:cs="Arial"/>
          <w:szCs w:val="24"/>
          <w:lang w:val="en-US"/>
        </w:rPr>
      </w:pPr>
    </w:p>
    <w:p w14:paraId="0F33FC3B" w14:textId="3E45FD0B" w:rsidR="0028507F" w:rsidRPr="00AE54E4" w:rsidRDefault="0028507F" w:rsidP="00436E70">
      <w:pPr>
        <w:ind w:left="720"/>
        <w:rPr>
          <w:rFonts w:cs="Arial"/>
          <w:szCs w:val="24"/>
          <w:lang w:val="en-US"/>
        </w:rPr>
      </w:pPr>
      <w:r w:rsidRPr="00AE54E4">
        <w:rPr>
          <w:rFonts w:cs="Arial"/>
          <w:szCs w:val="24"/>
          <w:lang w:val="en-US"/>
        </w:rPr>
        <w:t xml:space="preserve">Scores are arrived at following the application of the Evaluation Criteria set out below to the Respondent’s </w:t>
      </w:r>
      <w:r w:rsidR="00C0471F" w:rsidRPr="00AE54E4">
        <w:rPr>
          <w:rFonts w:cs="Arial"/>
          <w:szCs w:val="24"/>
          <w:lang w:val="en-US"/>
        </w:rPr>
        <w:t>Quote</w:t>
      </w:r>
      <w:r w:rsidRPr="00AE54E4">
        <w:rPr>
          <w:rFonts w:cs="Arial"/>
          <w:szCs w:val="24"/>
          <w:lang w:val="en-US"/>
        </w:rPr>
        <w:t>.</w:t>
      </w:r>
    </w:p>
    <w:p w14:paraId="5860219F" w14:textId="77777777" w:rsidR="0028507F" w:rsidRPr="00AE54E4" w:rsidRDefault="0028507F" w:rsidP="0028507F">
      <w:pPr>
        <w:ind w:left="720" w:hanging="720"/>
        <w:rPr>
          <w:rFonts w:cs="Arial"/>
          <w:szCs w:val="24"/>
          <w:lang w:val="en-US"/>
        </w:rPr>
      </w:pPr>
    </w:p>
    <w:p w14:paraId="7AF6C7D2" w14:textId="1A3F1F99" w:rsidR="0028507F" w:rsidRPr="00AE54E4" w:rsidRDefault="0028507F" w:rsidP="0028507F">
      <w:pPr>
        <w:ind w:left="720" w:hanging="720"/>
        <w:rPr>
          <w:rFonts w:cs="Arial"/>
          <w:szCs w:val="24"/>
          <w:lang w:val="en-US"/>
        </w:rPr>
      </w:pPr>
      <w:r w:rsidRPr="00AE54E4">
        <w:rPr>
          <w:rFonts w:cs="Arial"/>
          <w:szCs w:val="24"/>
          <w:lang w:val="en-US"/>
        </w:rPr>
        <w:tab/>
        <w:t xml:space="preserve">Respondents are required to submit a </w:t>
      </w:r>
      <w:r w:rsidR="00C0471F" w:rsidRPr="00AE54E4">
        <w:rPr>
          <w:rFonts w:cs="Arial"/>
          <w:szCs w:val="24"/>
          <w:lang w:val="en-US"/>
        </w:rPr>
        <w:t>Quote</w:t>
      </w:r>
      <w:r w:rsidRPr="00AE54E4">
        <w:rPr>
          <w:rFonts w:cs="Arial"/>
          <w:szCs w:val="24"/>
          <w:lang w:val="en-US"/>
        </w:rPr>
        <w:t xml:space="preserve"> strictly in accordance with the </w:t>
      </w:r>
      <w:r w:rsidR="0027117F" w:rsidRPr="00AE54E4">
        <w:rPr>
          <w:rFonts w:cs="Arial"/>
          <w:szCs w:val="24"/>
          <w:lang w:val="en-US"/>
        </w:rPr>
        <w:t>requirements set out in this ITQ</w:t>
      </w:r>
      <w:r w:rsidRPr="00AE54E4">
        <w:rPr>
          <w:rFonts w:cs="Arial"/>
          <w:szCs w:val="24"/>
          <w:lang w:val="en-US"/>
        </w:rPr>
        <w:t xml:space="preserve">, to ensure the Council has the correct information to make the evaluation. Evasive or unclear </w:t>
      </w:r>
      <w:r w:rsidR="00C0471F" w:rsidRPr="00AE54E4">
        <w:rPr>
          <w:rFonts w:cs="Arial"/>
          <w:szCs w:val="24"/>
          <w:lang w:val="en-US"/>
        </w:rPr>
        <w:t>Quote</w:t>
      </w:r>
      <w:r w:rsidRPr="00AE54E4">
        <w:rPr>
          <w:rFonts w:cs="Arial"/>
          <w:szCs w:val="24"/>
          <w:lang w:val="en-US"/>
        </w:rPr>
        <w:t xml:space="preserve"> may be discounted in evaluation and may, at the Council’s discretion, be taken as a rejection by the Respondent of the terms set out in this IT</w:t>
      </w:r>
      <w:r w:rsidR="0027117F" w:rsidRPr="00AE54E4">
        <w:rPr>
          <w:rFonts w:cs="Arial"/>
          <w:szCs w:val="24"/>
          <w:lang w:val="en-US"/>
        </w:rPr>
        <w:t>Q</w:t>
      </w:r>
      <w:r w:rsidRPr="00AE54E4">
        <w:rPr>
          <w:rFonts w:cs="Arial"/>
          <w:szCs w:val="24"/>
          <w:lang w:val="en-US"/>
        </w:rPr>
        <w:t>.</w:t>
      </w:r>
    </w:p>
    <w:p w14:paraId="685CB52E" w14:textId="77777777" w:rsidR="0028507F" w:rsidRPr="00AE54E4" w:rsidRDefault="0028507F" w:rsidP="0028507F">
      <w:pPr>
        <w:ind w:left="720" w:hanging="720"/>
        <w:rPr>
          <w:rFonts w:cs="Arial"/>
          <w:szCs w:val="24"/>
          <w:lang w:val="en-US"/>
        </w:rPr>
      </w:pPr>
    </w:p>
    <w:p w14:paraId="479F8325" w14:textId="02ABE51C" w:rsidR="0028507F" w:rsidRPr="00AE54E4" w:rsidRDefault="0028507F" w:rsidP="0028507F">
      <w:pPr>
        <w:ind w:left="720" w:hanging="720"/>
        <w:rPr>
          <w:rFonts w:cs="Arial"/>
          <w:szCs w:val="24"/>
          <w:lang w:val="en-US"/>
        </w:rPr>
      </w:pPr>
      <w:r w:rsidRPr="00AE54E4">
        <w:rPr>
          <w:rFonts w:cs="Arial"/>
          <w:szCs w:val="24"/>
          <w:lang w:val="en-US"/>
        </w:rPr>
        <w:tab/>
        <w:t xml:space="preserve">The </w:t>
      </w:r>
      <w:r w:rsidR="00C0471F" w:rsidRPr="00AE54E4">
        <w:rPr>
          <w:rFonts w:cs="Arial"/>
          <w:szCs w:val="24"/>
          <w:lang w:val="en-US"/>
        </w:rPr>
        <w:t>Quote</w:t>
      </w:r>
      <w:r w:rsidRPr="00AE54E4">
        <w:rPr>
          <w:rFonts w:cs="Arial"/>
          <w:szCs w:val="24"/>
          <w:lang w:val="en-US"/>
        </w:rPr>
        <w:t xml:space="preserve"> Evaluation Model showing the Evaluation Criteria and the maximum scores attributable to them is set out below.</w:t>
      </w:r>
    </w:p>
    <w:p w14:paraId="6BA1A655" w14:textId="69C3D668" w:rsidR="0028507F" w:rsidRPr="00AE54E4" w:rsidRDefault="0028507F" w:rsidP="0028507F">
      <w:pPr>
        <w:ind w:left="720" w:hanging="720"/>
        <w:rPr>
          <w:rFonts w:cs="Arial"/>
          <w:szCs w:val="24"/>
          <w:lang w:val="en-US"/>
        </w:rPr>
      </w:pPr>
      <w:r w:rsidRPr="00AE54E4">
        <w:rPr>
          <w:rFonts w:cs="Arial"/>
          <w:szCs w:val="24"/>
          <w:lang w:val="en-US"/>
        </w:rPr>
        <w:tab/>
      </w:r>
    </w:p>
    <w:tbl>
      <w:tblPr>
        <w:tblStyle w:val="TableGrid"/>
        <w:tblW w:w="0" w:type="auto"/>
        <w:tblLook w:val="04A0" w:firstRow="1" w:lastRow="0" w:firstColumn="1" w:lastColumn="0" w:noHBand="0" w:noVBand="1"/>
      </w:tblPr>
      <w:tblGrid>
        <w:gridCol w:w="1444"/>
        <w:gridCol w:w="2628"/>
        <w:gridCol w:w="3568"/>
        <w:gridCol w:w="1376"/>
      </w:tblGrid>
      <w:tr w:rsidR="008F5028" w:rsidRPr="00AE54E4" w14:paraId="302CDDC5" w14:textId="77777777" w:rsidTr="00EE4BE6">
        <w:tc>
          <w:tcPr>
            <w:tcW w:w="404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FD31D2" w14:textId="77777777" w:rsidR="008F5028" w:rsidRPr="00AE54E4" w:rsidRDefault="008F5028" w:rsidP="008F5028">
            <w:pPr>
              <w:rPr>
                <w:rFonts w:cs="Arial"/>
                <w:b/>
                <w:szCs w:val="24"/>
                <w:lang w:val="en-US"/>
              </w:rPr>
            </w:pPr>
            <w:r w:rsidRPr="00AE54E4">
              <w:rPr>
                <w:rFonts w:cs="Arial"/>
                <w:b/>
                <w:szCs w:val="24"/>
                <w:lang w:val="en-US"/>
              </w:rPr>
              <w:t>Overall Criteria</w:t>
            </w:r>
          </w:p>
          <w:p w14:paraId="21CE13CF" w14:textId="26A66F01" w:rsidR="008F5028" w:rsidRPr="00AE54E4" w:rsidRDefault="008F5028" w:rsidP="008F5028">
            <w:pPr>
              <w:rPr>
                <w:rFonts w:cs="Arial"/>
                <w:b/>
                <w:szCs w:val="24"/>
                <w:lang w:val="en-US"/>
              </w:rPr>
            </w:pPr>
          </w:p>
        </w:tc>
        <w:tc>
          <w:tcPr>
            <w:tcW w:w="35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DAA897" w14:textId="77777777" w:rsidR="008F5028" w:rsidRPr="00AE54E4" w:rsidRDefault="008F5028" w:rsidP="008F5028">
            <w:pPr>
              <w:rPr>
                <w:rFonts w:cs="Arial"/>
                <w:b/>
                <w:szCs w:val="24"/>
                <w:lang w:val="en-US"/>
              </w:rPr>
            </w:pPr>
            <w:r w:rsidRPr="00AE54E4">
              <w:rPr>
                <w:rFonts w:cs="Arial"/>
                <w:b/>
                <w:szCs w:val="24"/>
                <w:lang w:val="en-US"/>
              </w:rPr>
              <w:t>Sub-Criteria</w:t>
            </w:r>
          </w:p>
        </w:tc>
        <w:tc>
          <w:tcPr>
            <w:tcW w:w="1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829221" w14:textId="77777777" w:rsidR="008F5028" w:rsidRPr="00AE54E4" w:rsidRDefault="008F5028" w:rsidP="008F5028">
            <w:pPr>
              <w:rPr>
                <w:rFonts w:cs="Arial"/>
                <w:b/>
                <w:szCs w:val="24"/>
                <w:lang w:val="en-US"/>
              </w:rPr>
            </w:pPr>
            <w:r w:rsidRPr="00AE54E4">
              <w:rPr>
                <w:rFonts w:cs="Arial"/>
                <w:b/>
                <w:szCs w:val="24"/>
                <w:lang w:val="en-US"/>
              </w:rPr>
              <w:t>Weighting</w:t>
            </w:r>
          </w:p>
        </w:tc>
      </w:tr>
      <w:tr w:rsidR="008F5028" w:rsidRPr="00AE54E4" w14:paraId="08554E5B" w14:textId="77777777" w:rsidTr="00EE4BE6">
        <w:tc>
          <w:tcPr>
            <w:tcW w:w="1405" w:type="dxa"/>
            <w:tcBorders>
              <w:top w:val="single" w:sz="4" w:space="0" w:color="auto"/>
              <w:left w:val="single" w:sz="4" w:space="0" w:color="auto"/>
              <w:bottom w:val="single" w:sz="4" w:space="0" w:color="auto"/>
              <w:right w:val="single" w:sz="4" w:space="0" w:color="auto"/>
            </w:tcBorders>
            <w:hideMark/>
          </w:tcPr>
          <w:p w14:paraId="4444A9FB" w14:textId="77777777" w:rsidR="008F5028" w:rsidRPr="00AE54E4" w:rsidRDefault="008F5028" w:rsidP="008F5028">
            <w:pPr>
              <w:rPr>
                <w:rFonts w:cs="Arial"/>
              </w:rPr>
            </w:pPr>
            <w:r w:rsidRPr="00AE54E4">
              <w:rPr>
                <w:rFonts w:cs="Arial"/>
              </w:rPr>
              <w:t xml:space="preserve">Quality </w:t>
            </w:r>
          </w:p>
        </w:tc>
        <w:tc>
          <w:tcPr>
            <w:tcW w:w="2641" w:type="dxa"/>
            <w:tcBorders>
              <w:top w:val="single" w:sz="4" w:space="0" w:color="auto"/>
              <w:left w:val="single" w:sz="4" w:space="0" w:color="auto"/>
              <w:bottom w:val="single" w:sz="4" w:space="0" w:color="auto"/>
              <w:right w:val="single" w:sz="4" w:space="0" w:color="auto"/>
            </w:tcBorders>
            <w:hideMark/>
          </w:tcPr>
          <w:p w14:paraId="1939CCBD" w14:textId="77777777" w:rsidR="008F5028" w:rsidRPr="00AE54E4" w:rsidRDefault="008F5028" w:rsidP="008F5028">
            <w:pPr>
              <w:rPr>
                <w:rFonts w:cs="Arial"/>
              </w:rPr>
            </w:pPr>
            <w:r w:rsidRPr="00AE54E4">
              <w:rPr>
                <w:rFonts w:cs="Arial"/>
              </w:rPr>
              <w:t xml:space="preserve">Technical Quality </w:t>
            </w:r>
          </w:p>
        </w:tc>
        <w:tc>
          <w:tcPr>
            <w:tcW w:w="3594" w:type="dxa"/>
            <w:tcBorders>
              <w:top w:val="single" w:sz="4" w:space="0" w:color="auto"/>
              <w:left w:val="single" w:sz="4" w:space="0" w:color="auto"/>
              <w:bottom w:val="single" w:sz="4" w:space="0" w:color="auto"/>
              <w:right w:val="single" w:sz="4" w:space="0" w:color="auto"/>
            </w:tcBorders>
            <w:hideMark/>
          </w:tcPr>
          <w:p w14:paraId="0F6E860F" w14:textId="77777777" w:rsidR="008F5028" w:rsidRPr="00AE54E4" w:rsidRDefault="008F5028" w:rsidP="008F5028">
            <w:pPr>
              <w:rPr>
                <w:rFonts w:cs="Arial"/>
              </w:rPr>
            </w:pPr>
            <w:r w:rsidRPr="00AE54E4">
              <w:rPr>
                <w:rFonts w:cs="Arial"/>
              </w:rPr>
              <w:t xml:space="preserve">A full statement of methodology of how the required work will be delivered (20%) and </w:t>
            </w:r>
          </w:p>
          <w:p w14:paraId="59703E3C" w14:textId="792EB1F9" w:rsidR="008F5028" w:rsidRPr="00AE54E4" w:rsidRDefault="008F5028" w:rsidP="008F5028">
            <w:pPr>
              <w:rPr>
                <w:rFonts w:cs="Arial"/>
              </w:rPr>
            </w:pPr>
            <w:r w:rsidRPr="00AE54E4">
              <w:rPr>
                <w:rFonts w:cs="Arial"/>
              </w:rPr>
              <w:t>evidence of a clear understanding of the full requirements of the brief (20%)</w:t>
            </w:r>
          </w:p>
        </w:tc>
        <w:tc>
          <w:tcPr>
            <w:tcW w:w="1376" w:type="dxa"/>
            <w:tcBorders>
              <w:top w:val="single" w:sz="4" w:space="0" w:color="auto"/>
              <w:left w:val="single" w:sz="4" w:space="0" w:color="auto"/>
              <w:bottom w:val="single" w:sz="4" w:space="0" w:color="auto"/>
              <w:right w:val="single" w:sz="4" w:space="0" w:color="auto"/>
            </w:tcBorders>
            <w:hideMark/>
          </w:tcPr>
          <w:p w14:paraId="421059E4" w14:textId="77777777" w:rsidR="008F5028" w:rsidRPr="00AE54E4" w:rsidRDefault="008F5028" w:rsidP="008F5028">
            <w:pPr>
              <w:rPr>
                <w:rFonts w:cs="Arial"/>
              </w:rPr>
            </w:pPr>
            <w:r w:rsidRPr="00AE54E4">
              <w:rPr>
                <w:rFonts w:cs="Arial"/>
              </w:rPr>
              <w:t>40%</w:t>
            </w:r>
          </w:p>
        </w:tc>
      </w:tr>
      <w:tr w:rsidR="008F5028" w:rsidRPr="00AE54E4" w14:paraId="6B221570" w14:textId="77777777" w:rsidTr="008F5028">
        <w:tc>
          <w:tcPr>
            <w:tcW w:w="1413" w:type="dxa"/>
            <w:tcBorders>
              <w:top w:val="single" w:sz="4" w:space="0" w:color="auto"/>
              <w:left w:val="single" w:sz="4" w:space="0" w:color="auto"/>
              <w:bottom w:val="single" w:sz="4" w:space="0" w:color="auto"/>
              <w:right w:val="single" w:sz="4" w:space="0" w:color="auto"/>
            </w:tcBorders>
            <w:hideMark/>
          </w:tcPr>
          <w:p w14:paraId="4BABBA52" w14:textId="77777777" w:rsidR="008F5028" w:rsidRPr="00AE54E4" w:rsidRDefault="008F5028" w:rsidP="008F5028">
            <w:pPr>
              <w:rPr>
                <w:rFonts w:cs="Arial"/>
              </w:rPr>
            </w:pPr>
            <w:r w:rsidRPr="00AE54E4">
              <w:rPr>
                <w:rFonts w:cs="Arial"/>
              </w:rPr>
              <w:t xml:space="preserve">Quality </w:t>
            </w:r>
          </w:p>
        </w:tc>
        <w:tc>
          <w:tcPr>
            <w:tcW w:w="2693" w:type="dxa"/>
            <w:tcBorders>
              <w:top w:val="single" w:sz="4" w:space="0" w:color="auto"/>
              <w:left w:val="single" w:sz="4" w:space="0" w:color="auto"/>
              <w:bottom w:val="single" w:sz="4" w:space="0" w:color="auto"/>
              <w:right w:val="single" w:sz="4" w:space="0" w:color="auto"/>
            </w:tcBorders>
            <w:hideMark/>
          </w:tcPr>
          <w:p w14:paraId="1617BDA6" w14:textId="77777777" w:rsidR="008F5028" w:rsidRPr="00AE54E4" w:rsidRDefault="008F5028" w:rsidP="008F5028">
            <w:pPr>
              <w:rPr>
                <w:rFonts w:cs="Arial"/>
              </w:rPr>
            </w:pPr>
            <w:r w:rsidRPr="00AE54E4">
              <w:rPr>
                <w:rFonts w:cs="Arial"/>
              </w:rPr>
              <w:t>Experience and Management</w:t>
            </w:r>
          </w:p>
        </w:tc>
        <w:tc>
          <w:tcPr>
            <w:tcW w:w="3686" w:type="dxa"/>
            <w:tcBorders>
              <w:top w:val="single" w:sz="4" w:space="0" w:color="auto"/>
              <w:left w:val="single" w:sz="4" w:space="0" w:color="auto"/>
              <w:bottom w:val="single" w:sz="4" w:space="0" w:color="auto"/>
              <w:right w:val="single" w:sz="4" w:space="0" w:color="auto"/>
            </w:tcBorders>
            <w:hideMark/>
          </w:tcPr>
          <w:p w14:paraId="27D34553" w14:textId="77777777" w:rsidR="008F5028" w:rsidRPr="00AE54E4" w:rsidRDefault="008F5028" w:rsidP="008F5028">
            <w:pPr>
              <w:rPr>
                <w:rFonts w:cs="Arial"/>
              </w:rPr>
            </w:pPr>
            <w:r w:rsidRPr="00AE54E4">
              <w:rPr>
                <w:rFonts w:cs="Arial"/>
              </w:rPr>
              <w:t>Evidence of the experience of the main consultant (and any sub-consultant). This should include references and evidence of work undertaken elsewhere.</w:t>
            </w:r>
          </w:p>
        </w:tc>
        <w:tc>
          <w:tcPr>
            <w:tcW w:w="1224" w:type="dxa"/>
            <w:tcBorders>
              <w:top w:val="single" w:sz="4" w:space="0" w:color="auto"/>
              <w:left w:val="single" w:sz="4" w:space="0" w:color="auto"/>
              <w:bottom w:val="single" w:sz="4" w:space="0" w:color="auto"/>
              <w:right w:val="single" w:sz="4" w:space="0" w:color="auto"/>
            </w:tcBorders>
            <w:hideMark/>
          </w:tcPr>
          <w:p w14:paraId="6F174795" w14:textId="77777777" w:rsidR="008F5028" w:rsidRPr="00AE54E4" w:rsidRDefault="008F5028" w:rsidP="008F5028">
            <w:pPr>
              <w:rPr>
                <w:rFonts w:cs="Arial"/>
              </w:rPr>
            </w:pPr>
            <w:r w:rsidRPr="00AE54E4">
              <w:rPr>
                <w:rFonts w:cs="Arial"/>
              </w:rPr>
              <w:t>20%</w:t>
            </w:r>
          </w:p>
        </w:tc>
      </w:tr>
      <w:tr w:rsidR="008F5028" w:rsidRPr="00AE54E4" w14:paraId="7EBB20A4" w14:textId="77777777" w:rsidTr="008F5028">
        <w:tc>
          <w:tcPr>
            <w:tcW w:w="1413" w:type="dxa"/>
            <w:tcBorders>
              <w:top w:val="single" w:sz="4" w:space="0" w:color="auto"/>
              <w:left w:val="single" w:sz="4" w:space="0" w:color="auto"/>
              <w:bottom w:val="single" w:sz="4" w:space="0" w:color="auto"/>
              <w:right w:val="single" w:sz="4" w:space="0" w:color="auto"/>
            </w:tcBorders>
          </w:tcPr>
          <w:p w14:paraId="159D62B3" w14:textId="77777777" w:rsidR="008F5028" w:rsidRPr="00AE54E4" w:rsidRDefault="008F5028" w:rsidP="008F5028">
            <w:pPr>
              <w:rPr>
                <w:rFonts w:cs="Arial"/>
              </w:rPr>
            </w:pPr>
            <w:r w:rsidRPr="00AE54E4">
              <w:rPr>
                <w:rFonts w:cs="Arial"/>
              </w:rPr>
              <w:t xml:space="preserve">Quality </w:t>
            </w:r>
          </w:p>
          <w:p w14:paraId="51E02DFD" w14:textId="77777777" w:rsidR="008F5028" w:rsidRPr="00AE54E4" w:rsidRDefault="008F5028" w:rsidP="008F5028">
            <w:pPr>
              <w:rPr>
                <w:rFonts w:cs="Arial"/>
              </w:rPr>
            </w:pPr>
          </w:p>
        </w:tc>
        <w:tc>
          <w:tcPr>
            <w:tcW w:w="2693" w:type="dxa"/>
            <w:tcBorders>
              <w:top w:val="single" w:sz="4" w:space="0" w:color="auto"/>
              <w:left w:val="single" w:sz="4" w:space="0" w:color="auto"/>
              <w:bottom w:val="single" w:sz="4" w:space="0" w:color="auto"/>
              <w:right w:val="single" w:sz="4" w:space="0" w:color="auto"/>
            </w:tcBorders>
            <w:hideMark/>
          </w:tcPr>
          <w:p w14:paraId="20512F42" w14:textId="77777777" w:rsidR="008F5028" w:rsidRPr="00AE54E4" w:rsidRDefault="008F5028" w:rsidP="008F5028">
            <w:pPr>
              <w:rPr>
                <w:rFonts w:cs="Arial"/>
              </w:rPr>
            </w:pPr>
            <w:r w:rsidRPr="00AE54E4">
              <w:rPr>
                <w:rFonts w:cs="Arial"/>
              </w:rPr>
              <w:t>Resources</w:t>
            </w:r>
          </w:p>
        </w:tc>
        <w:tc>
          <w:tcPr>
            <w:tcW w:w="3686" w:type="dxa"/>
            <w:tcBorders>
              <w:top w:val="single" w:sz="4" w:space="0" w:color="auto"/>
              <w:left w:val="single" w:sz="4" w:space="0" w:color="auto"/>
              <w:bottom w:val="single" w:sz="4" w:space="0" w:color="auto"/>
              <w:right w:val="single" w:sz="4" w:space="0" w:color="auto"/>
            </w:tcBorders>
          </w:tcPr>
          <w:p w14:paraId="658EC37A" w14:textId="77777777" w:rsidR="008F5028" w:rsidRPr="00AE54E4" w:rsidRDefault="008F5028" w:rsidP="008F5028">
            <w:pPr>
              <w:rPr>
                <w:rFonts w:cs="Arial"/>
              </w:rPr>
            </w:pPr>
            <w:r w:rsidRPr="00AE54E4">
              <w:rPr>
                <w:rFonts w:cs="Arial"/>
              </w:rPr>
              <w:t>A resource schedule identifying the personnel who will undertake the work (5%).</w:t>
            </w:r>
          </w:p>
          <w:p w14:paraId="30EE0A9E" w14:textId="77777777" w:rsidR="008F5028" w:rsidRPr="00AE54E4" w:rsidRDefault="008F5028" w:rsidP="008F5028">
            <w:pPr>
              <w:rPr>
                <w:rFonts w:cs="Arial"/>
              </w:rPr>
            </w:pPr>
          </w:p>
          <w:p w14:paraId="371A2D6F" w14:textId="77777777" w:rsidR="008F5028" w:rsidRPr="00AE54E4" w:rsidRDefault="008F5028" w:rsidP="008F5028">
            <w:pPr>
              <w:rPr>
                <w:rFonts w:cs="Arial"/>
              </w:rPr>
            </w:pPr>
            <w:r w:rsidRPr="00AE54E4">
              <w:rPr>
                <w:rFonts w:cs="Arial"/>
              </w:rPr>
              <w:t>Evidence of the timely availability of the study team (5%)</w:t>
            </w:r>
          </w:p>
        </w:tc>
        <w:tc>
          <w:tcPr>
            <w:tcW w:w="1224" w:type="dxa"/>
            <w:tcBorders>
              <w:top w:val="single" w:sz="4" w:space="0" w:color="auto"/>
              <w:left w:val="single" w:sz="4" w:space="0" w:color="auto"/>
              <w:bottom w:val="single" w:sz="4" w:space="0" w:color="auto"/>
              <w:right w:val="single" w:sz="4" w:space="0" w:color="auto"/>
            </w:tcBorders>
            <w:hideMark/>
          </w:tcPr>
          <w:p w14:paraId="024DD398" w14:textId="77777777" w:rsidR="008F5028" w:rsidRPr="00AE54E4" w:rsidRDefault="008F5028" w:rsidP="008F5028">
            <w:pPr>
              <w:rPr>
                <w:rFonts w:cs="Arial"/>
              </w:rPr>
            </w:pPr>
            <w:r w:rsidRPr="00AE54E4">
              <w:rPr>
                <w:rFonts w:cs="Arial"/>
              </w:rPr>
              <w:t>10%</w:t>
            </w:r>
          </w:p>
        </w:tc>
      </w:tr>
      <w:tr w:rsidR="008F5028" w:rsidRPr="00AE54E4" w14:paraId="26D41E99" w14:textId="77777777" w:rsidTr="008F5028">
        <w:tc>
          <w:tcPr>
            <w:tcW w:w="1413" w:type="dxa"/>
            <w:tcBorders>
              <w:top w:val="single" w:sz="4" w:space="0" w:color="auto"/>
              <w:left w:val="single" w:sz="4" w:space="0" w:color="auto"/>
              <w:bottom w:val="single" w:sz="4" w:space="0" w:color="auto"/>
              <w:right w:val="single" w:sz="4" w:space="0" w:color="auto"/>
            </w:tcBorders>
            <w:hideMark/>
          </w:tcPr>
          <w:p w14:paraId="6BE03D25" w14:textId="77777777" w:rsidR="008F5028" w:rsidRPr="00AE54E4" w:rsidRDefault="008F5028" w:rsidP="008F5028">
            <w:pPr>
              <w:rPr>
                <w:rFonts w:cs="Arial"/>
              </w:rPr>
            </w:pPr>
            <w:r w:rsidRPr="00AE54E4">
              <w:rPr>
                <w:rFonts w:cs="Arial"/>
              </w:rPr>
              <w:t>Cost</w:t>
            </w:r>
          </w:p>
        </w:tc>
        <w:tc>
          <w:tcPr>
            <w:tcW w:w="2693" w:type="dxa"/>
            <w:tcBorders>
              <w:top w:val="single" w:sz="4" w:space="0" w:color="auto"/>
              <w:left w:val="single" w:sz="4" w:space="0" w:color="auto"/>
              <w:bottom w:val="single" w:sz="4" w:space="0" w:color="auto"/>
              <w:right w:val="single" w:sz="4" w:space="0" w:color="auto"/>
            </w:tcBorders>
            <w:hideMark/>
          </w:tcPr>
          <w:p w14:paraId="1496B83E" w14:textId="77777777" w:rsidR="008F5028" w:rsidRPr="00AE54E4" w:rsidRDefault="008F5028" w:rsidP="008F5028">
            <w:pPr>
              <w:rPr>
                <w:rFonts w:cs="Arial"/>
              </w:rPr>
            </w:pPr>
            <w:r w:rsidRPr="00AE54E4">
              <w:rPr>
                <w:rFonts w:cs="Arial"/>
              </w:rPr>
              <w:t>Cost</w:t>
            </w:r>
          </w:p>
        </w:tc>
        <w:tc>
          <w:tcPr>
            <w:tcW w:w="3686" w:type="dxa"/>
            <w:tcBorders>
              <w:top w:val="single" w:sz="4" w:space="0" w:color="auto"/>
              <w:left w:val="single" w:sz="4" w:space="0" w:color="auto"/>
              <w:bottom w:val="single" w:sz="4" w:space="0" w:color="auto"/>
              <w:right w:val="single" w:sz="4" w:space="0" w:color="auto"/>
            </w:tcBorders>
            <w:hideMark/>
          </w:tcPr>
          <w:p w14:paraId="7526E97A" w14:textId="77777777" w:rsidR="008F5028" w:rsidRPr="00AE54E4" w:rsidRDefault="008F5028" w:rsidP="008F5028">
            <w:pPr>
              <w:rPr>
                <w:rFonts w:cs="Arial"/>
              </w:rPr>
            </w:pPr>
            <w:r w:rsidRPr="00AE54E4">
              <w:rPr>
                <w:rFonts w:cs="Arial"/>
              </w:rPr>
              <w:t xml:space="preserve">Clear indication of the total cost of the study and a full breakdown of costs. </w:t>
            </w:r>
          </w:p>
        </w:tc>
        <w:tc>
          <w:tcPr>
            <w:tcW w:w="1224" w:type="dxa"/>
            <w:tcBorders>
              <w:top w:val="single" w:sz="4" w:space="0" w:color="auto"/>
              <w:left w:val="single" w:sz="4" w:space="0" w:color="auto"/>
              <w:bottom w:val="single" w:sz="4" w:space="0" w:color="auto"/>
              <w:right w:val="single" w:sz="4" w:space="0" w:color="auto"/>
            </w:tcBorders>
            <w:hideMark/>
          </w:tcPr>
          <w:p w14:paraId="70D7EE0B" w14:textId="77777777" w:rsidR="008F5028" w:rsidRPr="00AE54E4" w:rsidRDefault="008F5028" w:rsidP="008F5028">
            <w:pPr>
              <w:rPr>
                <w:rFonts w:cs="Arial"/>
              </w:rPr>
            </w:pPr>
            <w:r w:rsidRPr="00AE54E4">
              <w:rPr>
                <w:rFonts w:cs="Arial"/>
              </w:rPr>
              <w:t>30%</w:t>
            </w:r>
          </w:p>
        </w:tc>
      </w:tr>
      <w:tr w:rsidR="00EE4BE6" w:rsidRPr="00AE54E4" w14:paraId="42F08113" w14:textId="77777777" w:rsidTr="00EE4BE6">
        <w:tc>
          <w:tcPr>
            <w:tcW w:w="7640" w:type="dxa"/>
            <w:gridSpan w:val="3"/>
            <w:tcBorders>
              <w:top w:val="single" w:sz="4" w:space="0" w:color="auto"/>
              <w:left w:val="single" w:sz="4" w:space="0" w:color="auto"/>
              <w:bottom w:val="single" w:sz="4" w:space="0" w:color="auto"/>
              <w:right w:val="single" w:sz="4" w:space="0" w:color="auto"/>
            </w:tcBorders>
            <w:hideMark/>
          </w:tcPr>
          <w:p w14:paraId="483310FA" w14:textId="7CE16CCE" w:rsidR="00EE4BE6" w:rsidRPr="00AE54E4" w:rsidRDefault="00EE4BE6" w:rsidP="008F5028">
            <w:pPr>
              <w:rPr>
                <w:rFonts w:cs="Arial"/>
              </w:rPr>
            </w:pPr>
            <w:r w:rsidRPr="00AE54E4">
              <w:rPr>
                <w:rFonts w:cs="Arial"/>
              </w:rPr>
              <w:t xml:space="preserve">Total </w:t>
            </w:r>
          </w:p>
        </w:tc>
        <w:tc>
          <w:tcPr>
            <w:tcW w:w="1224" w:type="dxa"/>
            <w:tcBorders>
              <w:top w:val="single" w:sz="4" w:space="0" w:color="auto"/>
              <w:left w:val="single" w:sz="4" w:space="0" w:color="auto"/>
              <w:bottom w:val="single" w:sz="4" w:space="0" w:color="auto"/>
              <w:right w:val="single" w:sz="4" w:space="0" w:color="auto"/>
            </w:tcBorders>
          </w:tcPr>
          <w:p w14:paraId="6A1F1558" w14:textId="77777777" w:rsidR="00EE4BE6" w:rsidRPr="00AE54E4" w:rsidRDefault="00EE4BE6" w:rsidP="008F5028">
            <w:pPr>
              <w:rPr>
                <w:rFonts w:cs="Arial"/>
              </w:rPr>
            </w:pPr>
            <w:r w:rsidRPr="00AE54E4">
              <w:rPr>
                <w:rFonts w:cs="Arial"/>
              </w:rPr>
              <w:t>100%</w:t>
            </w:r>
          </w:p>
          <w:p w14:paraId="4582B898" w14:textId="77777777" w:rsidR="00EE4BE6" w:rsidRPr="00AE54E4" w:rsidRDefault="00EE4BE6" w:rsidP="008F5028">
            <w:pPr>
              <w:rPr>
                <w:rFonts w:cs="Arial"/>
              </w:rPr>
            </w:pPr>
          </w:p>
        </w:tc>
      </w:tr>
      <w:tr w:rsidR="00772378" w:rsidRPr="00AE54E4" w14:paraId="20C29741" w14:textId="77777777" w:rsidTr="00EE4BE6">
        <w:tc>
          <w:tcPr>
            <w:tcW w:w="1405" w:type="dxa"/>
            <w:tcBorders>
              <w:top w:val="single" w:sz="4" w:space="0" w:color="auto"/>
              <w:left w:val="single" w:sz="4" w:space="0" w:color="auto"/>
              <w:bottom w:val="single" w:sz="4" w:space="0" w:color="auto"/>
              <w:right w:val="single" w:sz="4" w:space="0" w:color="auto"/>
            </w:tcBorders>
          </w:tcPr>
          <w:p w14:paraId="27B0A0E5" w14:textId="19E08856" w:rsidR="00772378" w:rsidRPr="00AE54E4" w:rsidRDefault="00213343" w:rsidP="008F5028">
            <w:pPr>
              <w:rPr>
                <w:rFonts w:cs="Arial"/>
              </w:rPr>
            </w:pPr>
            <w:r w:rsidRPr="00AE54E4">
              <w:rPr>
                <w:rFonts w:cs="Arial"/>
              </w:rPr>
              <w:lastRenderedPageBreak/>
              <w:t>References</w:t>
            </w:r>
          </w:p>
        </w:tc>
        <w:tc>
          <w:tcPr>
            <w:tcW w:w="6235" w:type="dxa"/>
            <w:gridSpan w:val="2"/>
            <w:tcBorders>
              <w:top w:val="single" w:sz="4" w:space="0" w:color="auto"/>
              <w:left w:val="single" w:sz="4" w:space="0" w:color="auto"/>
              <w:bottom w:val="single" w:sz="4" w:space="0" w:color="auto"/>
              <w:right w:val="single" w:sz="4" w:space="0" w:color="auto"/>
            </w:tcBorders>
          </w:tcPr>
          <w:p w14:paraId="6F799EB1" w14:textId="77777777" w:rsidR="00AE54E4" w:rsidRDefault="00AE54E4" w:rsidP="00AE54E4">
            <w:pPr>
              <w:spacing w:after="200" w:line="276" w:lineRule="auto"/>
              <w:rPr>
                <w:rFonts w:cs="Arial"/>
              </w:rPr>
            </w:pPr>
            <w:r w:rsidRPr="00AE54E4">
              <w:rPr>
                <w:rFonts w:cs="Arial"/>
              </w:rPr>
              <w:t xml:space="preserve">Respondents are required to supply 2 references to accompany their bid and these will be used to verify the technical proposals put forward in this Opportunity. </w:t>
            </w:r>
          </w:p>
          <w:p w14:paraId="026AFA16" w14:textId="77777777" w:rsidR="00AE54E4" w:rsidRDefault="00AE54E4" w:rsidP="00AE54E4">
            <w:pPr>
              <w:spacing w:after="200" w:line="276" w:lineRule="auto"/>
              <w:rPr>
                <w:rFonts w:cs="Arial"/>
                <w:sz w:val="22"/>
              </w:rPr>
            </w:pPr>
            <w:r w:rsidRPr="00AE54E4">
              <w:rPr>
                <w:rFonts w:cs="Arial"/>
              </w:rPr>
              <w:t>You must use the reference questionnaire (Schedule 3)</w:t>
            </w:r>
            <w:r>
              <w:rPr>
                <w:rFonts w:cs="Arial"/>
              </w:rPr>
              <w:t xml:space="preserve"> included with</w:t>
            </w:r>
            <w:r w:rsidRPr="00AE54E4">
              <w:rPr>
                <w:rFonts w:cs="Arial"/>
              </w:rPr>
              <w:t xml:space="preserve"> this ITQ and your references should relate to the technical ability required for this opportunity. You must complete Section 1 of the reference questionnaire which you should then forward to your</w:t>
            </w:r>
            <w:r w:rsidRPr="00AE54E4">
              <w:rPr>
                <w:rFonts w:cs="Arial"/>
                <w:sz w:val="22"/>
              </w:rPr>
              <w:t xml:space="preserve"> </w:t>
            </w:r>
            <w:r w:rsidRPr="00AE54E4">
              <w:rPr>
                <w:rFonts w:cs="Arial"/>
              </w:rPr>
              <w:t>referees. They must complete Section 2 and send this DIRECTLY to</w:t>
            </w:r>
            <w:r w:rsidRPr="00AE54E4">
              <w:rPr>
                <w:rFonts w:cs="Arial"/>
                <w:szCs w:val="24"/>
              </w:rPr>
              <w:t xml:space="preserve"> </w:t>
            </w:r>
            <w:hyperlink r:id="rId10" w:history="1">
              <w:r w:rsidRPr="00AE54E4">
                <w:rPr>
                  <w:rFonts w:cs="Arial"/>
                  <w:color w:val="0000FF"/>
                  <w:szCs w:val="24"/>
                  <w:u w:val="single"/>
                </w:rPr>
                <w:t>procurement@gosport.gov.uk</w:t>
              </w:r>
            </w:hyperlink>
          </w:p>
          <w:p w14:paraId="3E1932FB" w14:textId="278A5EFE" w:rsidR="00772378" w:rsidRPr="00AE54E4" w:rsidRDefault="00AE54E4" w:rsidP="00AE54E4">
            <w:pPr>
              <w:spacing w:after="200" w:line="276" w:lineRule="auto"/>
              <w:rPr>
                <w:rFonts w:cs="Arial"/>
                <w:sz w:val="22"/>
              </w:rPr>
            </w:pPr>
            <w:r w:rsidRPr="00AE54E4">
              <w:rPr>
                <w:rFonts w:cs="Arial"/>
                <w:b/>
              </w:rPr>
              <w:t>Failure to provide the references will invalidate your bid and it will not proceed to evaluation.</w:t>
            </w:r>
          </w:p>
        </w:tc>
        <w:tc>
          <w:tcPr>
            <w:tcW w:w="1376" w:type="dxa"/>
            <w:tcBorders>
              <w:top w:val="single" w:sz="4" w:space="0" w:color="auto"/>
              <w:left w:val="single" w:sz="4" w:space="0" w:color="auto"/>
              <w:bottom w:val="single" w:sz="4" w:space="0" w:color="auto"/>
              <w:right w:val="single" w:sz="4" w:space="0" w:color="auto"/>
            </w:tcBorders>
          </w:tcPr>
          <w:p w14:paraId="67C58D17" w14:textId="17C05D32" w:rsidR="00772378" w:rsidRPr="00AE54E4" w:rsidRDefault="00213343" w:rsidP="008F5028">
            <w:pPr>
              <w:rPr>
                <w:rFonts w:cs="Arial"/>
              </w:rPr>
            </w:pPr>
            <w:r w:rsidRPr="00AE54E4">
              <w:rPr>
                <w:rFonts w:cs="Arial"/>
              </w:rPr>
              <w:t>Pass/fail</w:t>
            </w:r>
          </w:p>
        </w:tc>
      </w:tr>
      <w:tr w:rsidR="00EE4BE6" w:rsidRPr="00AE54E4" w14:paraId="48D302E1" w14:textId="77777777" w:rsidTr="00EE4BE6">
        <w:tc>
          <w:tcPr>
            <w:tcW w:w="1405" w:type="dxa"/>
            <w:tcBorders>
              <w:top w:val="single" w:sz="4" w:space="0" w:color="auto"/>
              <w:left w:val="single" w:sz="4" w:space="0" w:color="auto"/>
              <w:bottom w:val="single" w:sz="4" w:space="0" w:color="auto"/>
              <w:right w:val="single" w:sz="4" w:space="0" w:color="auto"/>
            </w:tcBorders>
            <w:hideMark/>
          </w:tcPr>
          <w:p w14:paraId="1F949849" w14:textId="77777777" w:rsidR="00EE4BE6" w:rsidRPr="00AE54E4" w:rsidRDefault="00EE4BE6" w:rsidP="008F5028">
            <w:pPr>
              <w:rPr>
                <w:rFonts w:cs="Arial"/>
              </w:rPr>
            </w:pPr>
            <w:r w:rsidRPr="00AE54E4">
              <w:rPr>
                <w:rFonts w:cs="Arial"/>
              </w:rPr>
              <w:t xml:space="preserve">Equality and Diversity </w:t>
            </w:r>
          </w:p>
        </w:tc>
        <w:tc>
          <w:tcPr>
            <w:tcW w:w="6235" w:type="dxa"/>
            <w:gridSpan w:val="2"/>
            <w:tcBorders>
              <w:top w:val="single" w:sz="4" w:space="0" w:color="auto"/>
              <w:left w:val="single" w:sz="4" w:space="0" w:color="auto"/>
              <w:bottom w:val="single" w:sz="4" w:space="0" w:color="auto"/>
              <w:right w:val="single" w:sz="4" w:space="0" w:color="auto"/>
            </w:tcBorders>
            <w:hideMark/>
          </w:tcPr>
          <w:p w14:paraId="1EE28933" w14:textId="6BC735B2" w:rsidR="00AE54E4" w:rsidRDefault="00EE4BE6" w:rsidP="008F5028">
            <w:pPr>
              <w:rPr>
                <w:rFonts w:cs="Arial"/>
              </w:rPr>
            </w:pPr>
            <w:r w:rsidRPr="00AE54E4">
              <w:rPr>
                <w:rFonts w:cs="Arial"/>
              </w:rPr>
              <w:t xml:space="preserve">The organisation submitting the quote will need to demonstrate they have a policy which complies with GBC’s requirements. </w:t>
            </w:r>
          </w:p>
          <w:p w14:paraId="5463E09A" w14:textId="77777777" w:rsidR="00AE54E4" w:rsidRDefault="00AE54E4" w:rsidP="008F5028">
            <w:pPr>
              <w:rPr>
                <w:rFonts w:cs="Arial"/>
              </w:rPr>
            </w:pPr>
          </w:p>
          <w:p w14:paraId="5FB5D696" w14:textId="4E9E02E9" w:rsidR="00EE4BE6" w:rsidRPr="00AE54E4" w:rsidRDefault="00EE4BE6" w:rsidP="008F5028">
            <w:pPr>
              <w:rPr>
                <w:rFonts w:cs="Arial"/>
              </w:rPr>
            </w:pPr>
            <w:r w:rsidRPr="00AE54E4">
              <w:rPr>
                <w:rFonts w:cs="Arial"/>
                <w:b/>
                <w:bCs/>
              </w:rPr>
              <w:t>Failure to demonstrate this will result in the quote being rejected.</w:t>
            </w:r>
            <w:r w:rsidRPr="00AE54E4">
              <w:rPr>
                <w:rFonts w:cs="Arial"/>
              </w:rPr>
              <w:t xml:space="preserve"> </w:t>
            </w:r>
          </w:p>
        </w:tc>
        <w:tc>
          <w:tcPr>
            <w:tcW w:w="1376" w:type="dxa"/>
            <w:tcBorders>
              <w:top w:val="single" w:sz="4" w:space="0" w:color="auto"/>
              <w:left w:val="single" w:sz="4" w:space="0" w:color="auto"/>
              <w:bottom w:val="single" w:sz="4" w:space="0" w:color="auto"/>
              <w:right w:val="single" w:sz="4" w:space="0" w:color="auto"/>
            </w:tcBorders>
            <w:hideMark/>
          </w:tcPr>
          <w:p w14:paraId="5DF6316D" w14:textId="77777777" w:rsidR="00EE4BE6" w:rsidRPr="00AE54E4" w:rsidRDefault="00EE4BE6" w:rsidP="008F5028">
            <w:pPr>
              <w:rPr>
                <w:rFonts w:cs="Arial"/>
              </w:rPr>
            </w:pPr>
            <w:r w:rsidRPr="00AE54E4">
              <w:rPr>
                <w:rFonts w:cs="Arial"/>
              </w:rPr>
              <w:t xml:space="preserve">Pass/fail </w:t>
            </w:r>
          </w:p>
        </w:tc>
      </w:tr>
      <w:tr w:rsidR="00EE4BE6" w:rsidRPr="00AE54E4" w14:paraId="108C62A6" w14:textId="77777777" w:rsidTr="00EE4BE6">
        <w:tc>
          <w:tcPr>
            <w:tcW w:w="1405" w:type="dxa"/>
            <w:tcBorders>
              <w:top w:val="single" w:sz="4" w:space="0" w:color="auto"/>
              <w:left w:val="single" w:sz="4" w:space="0" w:color="auto"/>
              <w:bottom w:val="single" w:sz="4" w:space="0" w:color="auto"/>
              <w:right w:val="single" w:sz="4" w:space="0" w:color="auto"/>
            </w:tcBorders>
            <w:hideMark/>
          </w:tcPr>
          <w:p w14:paraId="62225B3C" w14:textId="77777777" w:rsidR="00EE4BE6" w:rsidRPr="00AE54E4" w:rsidRDefault="00EE4BE6" w:rsidP="008F5028">
            <w:pPr>
              <w:rPr>
                <w:rFonts w:cs="Arial"/>
              </w:rPr>
            </w:pPr>
            <w:r w:rsidRPr="00AE54E4">
              <w:rPr>
                <w:rFonts w:cs="Arial"/>
              </w:rPr>
              <w:t xml:space="preserve">Data Protection </w:t>
            </w:r>
          </w:p>
        </w:tc>
        <w:tc>
          <w:tcPr>
            <w:tcW w:w="6235" w:type="dxa"/>
            <w:gridSpan w:val="2"/>
            <w:tcBorders>
              <w:top w:val="single" w:sz="4" w:space="0" w:color="auto"/>
              <w:left w:val="single" w:sz="4" w:space="0" w:color="auto"/>
              <w:bottom w:val="single" w:sz="4" w:space="0" w:color="auto"/>
              <w:right w:val="single" w:sz="4" w:space="0" w:color="auto"/>
            </w:tcBorders>
            <w:hideMark/>
          </w:tcPr>
          <w:p w14:paraId="5A67BF05" w14:textId="3AF6D6C0" w:rsidR="00AE54E4" w:rsidRDefault="00EE4BE6" w:rsidP="008F5028">
            <w:pPr>
              <w:rPr>
                <w:rFonts w:cs="Arial"/>
              </w:rPr>
            </w:pPr>
            <w:r w:rsidRPr="00AE54E4">
              <w:rPr>
                <w:rFonts w:cs="Arial"/>
              </w:rPr>
              <w:t>The organisation submitting the quote will need to demonstrate they have a policy and procedures in place for processing personal data and meeting their statutory obligations laid down by The Data Protection Act 1998.</w:t>
            </w:r>
          </w:p>
          <w:p w14:paraId="2DBA7E08" w14:textId="77777777" w:rsidR="00AE54E4" w:rsidRDefault="00AE54E4" w:rsidP="008F5028">
            <w:pPr>
              <w:rPr>
                <w:rFonts w:cs="Arial"/>
                <w:b/>
                <w:bCs/>
              </w:rPr>
            </w:pPr>
          </w:p>
          <w:p w14:paraId="03769B3B" w14:textId="5E3B8DC4" w:rsidR="00EE4BE6" w:rsidRPr="00AE54E4" w:rsidRDefault="00EE4BE6" w:rsidP="008F5028">
            <w:pPr>
              <w:rPr>
                <w:rFonts w:cs="Arial"/>
              </w:rPr>
            </w:pPr>
            <w:r w:rsidRPr="00AE54E4">
              <w:rPr>
                <w:rFonts w:cs="Arial"/>
                <w:b/>
                <w:bCs/>
              </w:rPr>
              <w:t>Failure to demonstrate this requirement will result in the quote being rejected.</w:t>
            </w:r>
            <w:r w:rsidRPr="00AE54E4">
              <w:rPr>
                <w:rFonts w:cs="Arial"/>
              </w:rPr>
              <w:t xml:space="preserve"> </w:t>
            </w:r>
          </w:p>
        </w:tc>
        <w:tc>
          <w:tcPr>
            <w:tcW w:w="1376" w:type="dxa"/>
            <w:tcBorders>
              <w:top w:val="single" w:sz="4" w:space="0" w:color="auto"/>
              <w:left w:val="single" w:sz="4" w:space="0" w:color="auto"/>
              <w:bottom w:val="single" w:sz="4" w:space="0" w:color="auto"/>
              <w:right w:val="single" w:sz="4" w:space="0" w:color="auto"/>
            </w:tcBorders>
            <w:hideMark/>
          </w:tcPr>
          <w:p w14:paraId="782DCFDE" w14:textId="77777777" w:rsidR="00EE4BE6" w:rsidRPr="00AE54E4" w:rsidRDefault="00EE4BE6" w:rsidP="008F5028">
            <w:pPr>
              <w:rPr>
                <w:rFonts w:cs="Arial"/>
              </w:rPr>
            </w:pPr>
            <w:r w:rsidRPr="00AE54E4">
              <w:rPr>
                <w:rFonts w:cs="Arial"/>
              </w:rPr>
              <w:t xml:space="preserve">Pass/fail </w:t>
            </w:r>
          </w:p>
        </w:tc>
      </w:tr>
    </w:tbl>
    <w:p w14:paraId="19054AEC" w14:textId="49EA25C6" w:rsidR="008F5028" w:rsidRPr="00AE54E4" w:rsidRDefault="008F5028" w:rsidP="0028507F">
      <w:pPr>
        <w:ind w:left="720" w:hanging="720"/>
        <w:rPr>
          <w:rFonts w:cs="Arial"/>
          <w:szCs w:val="24"/>
          <w:lang w:val="en-US"/>
        </w:rPr>
      </w:pPr>
    </w:p>
    <w:p w14:paraId="36B7E8E8" w14:textId="0BE3BBB2" w:rsidR="008F5028" w:rsidRPr="00AE54E4" w:rsidRDefault="008F5028" w:rsidP="0028507F">
      <w:pPr>
        <w:ind w:left="720" w:hanging="720"/>
        <w:rPr>
          <w:rFonts w:cs="Arial"/>
          <w:szCs w:val="24"/>
          <w:lang w:val="en-US"/>
        </w:rPr>
      </w:pPr>
    </w:p>
    <w:p w14:paraId="3AA454E9" w14:textId="6AD0C3BD" w:rsidR="008F5028" w:rsidRPr="00AE54E4" w:rsidRDefault="008F5028" w:rsidP="0028507F">
      <w:pPr>
        <w:ind w:left="720" w:hanging="720"/>
        <w:rPr>
          <w:rFonts w:cs="Arial"/>
          <w:szCs w:val="24"/>
          <w:lang w:val="en-US"/>
        </w:rPr>
      </w:pPr>
    </w:p>
    <w:p w14:paraId="65F218C7" w14:textId="34B0AC38" w:rsidR="008F5028" w:rsidRPr="00AE54E4" w:rsidRDefault="008F5028" w:rsidP="0028507F">
      <w:pPr>
        <w:ind w:left="720" w:hanging="720"/>
        <w:rPr>
          <w:rFonts w:cs="Arial"/>
          <w:szCs w:val="24"/>
          <w:lang w:val="en-US"/>
        </w:rPr>
      </w:pPr>
    </w:p>
    <w:p w14:paraId="78CBA25A" w14:textId="3CC2E041" w:rsidR="0017561C" w:rsidRPr="00AE54E4" w:rsidRDefault="0017561C" w:rsidP="0028507F">
      <w:pPr>
        <w:ind w:left="720" w:hanging="720"/>
        <w:rPr>
          <w:rFonts w:cs="Arial"/>
          <w:szCs w:val="24"/>
          <w:lang w:val="en-US"/>
        </w:rPr>
      </w:pPr>
    </w:p>
    <w:p w14:paraId="1B21EE50" w14:textId="6EB79834" w:rsidR="0017561C" w:rsidRPr="00AE54E4" w:rsidRDefault="0017561C" w:rsidP="0028507F">
      <w:pPr>
        <w:ind w:left="720" w:hanging="720"/>
        <w:rPr>
          <w:rFonts w:cs="Arial"/>
          <w:szCs w:val="24"/>
          <w:lang w:val="en-US"/>
        </w:rPr>
      </w:pPr>
    </w:p>
    <w:p w14:paraId="1457069E" w14:textId="6F98E8BE" w:rsidR="0017561C" w:rsidRPr="00AE54E4" w:rsidRDefault="0017561C" w:rsidP="0028507F">
      <w:pPr>
        <w:ind w:left="720" w:hanging="720"/>
        <w:rPr>
          <w:rFonts w:cs="Arial"/>
          <w:szCs w:val="24"/>
          <w:lang w:val="en-US"/>
        </w:rPr>
      </w:pPr>
    </w:p>
    <w:p w14:paraId="5825B78F" w14:textId="2747E6D2" w:rsidR="0017561C" w:rsidRPr="00AE54E4" w:rsidRDefault="0017561C" w:rsidP="0028507F">
      <w:pPr>
        <w:ind w:left="720" w:hanging="720"/>
        <w:rPr>
          <w:rFonts w:cs="Arial"/>
          <w:szCs w:val="24"/>
          <w:lang w:val="en-US"/>
        </w:rPr>
      </w:pPr>
    </w:p>
    <w:p w14:paraId="0C6ECAED" w14:textId="55F278DA" w:rsidR="0017561C" w:rsidRPr="00AE54E4" w:rsidRDefault="0017561C" w:rsidP="0028507F">
      <w:pPr>
        <w:ind w:left="720" w:hanging="720"/>
        <w:rPr>
          <w:rFonts w:cs="Arial"/>
          <w:szCs w:val="24"/>
          <w:lang w:val="en-US"/>
        </w:rPr>
      </w:pPr>
    </w:p>
    <w:p w14:paraId="53595733" w14:textId="77777777" w:rsidR="003B26B5" w:rsidRDefault="003B26B5">
      <w:pPr>
        <w:rPr>
          <w:rFonts w:eastAsiaTheme="majorEastAsia" w:cstheme="majorBidi"/>
          <w:b/>
          <w:sz w:val="28"/>
          <w:szCs w:val="32"/>
          <w:highlight w:val="lightGray"/>
          <w:lang w:val="en-US"/>
        </w:rPr>
      </w:pPr>
      <w:bookmarkStart w:id="7" w:name="_Toc125379460"/>
      <w:r>
        <w:rPr>
          <w:highlight w:val="lightGray"/>
          <w:lang w:val="en-US"/>
        </w:rPr>
        <w:br w:type="page"/>
      </w:r>
    </w:p>
    <w:p w14:paraId="65094F20" w14:textId="2F687468" w:rsidR="0028507F" w:rsidRPr="00AE54E4" w:rsidRDefault="0028507F" w:rsidP="006F2DC7">
      <w:pPr>
        <w:pStyle w:val="Heading1"/>
        <w:numPr>
          <w:ilvl w:val="0"/>
          <w:numId w:val="23"/>
        </w:numPr>
        <w:rPr>
          <w:lang w:val="en-US"/>
        </w:rPr>
      </w:pPr>
      <w:r w:rsidRPr="00AE54E4">
        <w:rPr>
          <w:lang w:val="en-US"/>
        </w:rPr>
        <w:lastRenderedPageBreak/>
        <w:t>E</w:t>
      </w:r>
      <w:r w:rsidR="00436E70" w:rsidRPr="00AE54E4">
        <w:rPr>
          <w:lang w:val="en-US"/>
        </w:rPr>
        <w:t>VALUATION PROCESS</w:t>
      </w:r>
      <w:bookmarkEnd w:id="7"/>
    </w:p>
    <w:p w14:paraId="312D7876" w14:textId="77777777" w:rsidR="0028507F" w:rsidRPr="00AE54E4" w:rsidRDefault="0028507F" w:rsidP="0028507F">
      <w:pPr>
        <w:ind w:left="720" w:hanging="720"/>
        <w:rPr>
          <w:rFonts w:cs="Arial"/>
          <w:b/>
          <w:szCs w:val="24"/>
          <w:lang w:val="en-US"/>
        </w:rPr>
      </w:pPr>
    </w:p>
    <w:p w14:paraId="387307AE" w14:textId="77777777" w:rsidR="0028507F" w:rsidRPr="00AE54E4" w:rsidRDefault="00436E70" w:rsidP="0028507F">
      <w:pPr>
        <w:ind w:left="720" w:hanging="720"/>
        <w:rPr>
          <w:rFonts w:cs="Arial"/>
          <w:szCs w:val="24"/>
          <w:u w:val="single"/>
          <w:lang w:val="en-US"/>
        </w:rPr>
      </w:pPr>
      <w:r w:rsidRPr="00AE54E4">
        <w:rPr>
          <w:rFonts w:cs="Arial"/>
          <w:b/>
          <w:szCs w:val="24"/>
          <w:lang w:val="en-US"/>
        </w:rPr>
        <w:t>6.1</w:t>
      </w:r>
      <w:r w:rsidRPr="00AE54E4">
        <w:rPr>
          <w:rFonts w:cs="Arial"/>
          <w:b/>
          <w:szCs w:val="24"/>
          <w:lang w:val="en-US"/>
        </w:rPr>
        <w:tab/>
      </w:r>
      <w:r w:rsidR="0028507F" w:rsidRPr="00AE54E4">
        <w:rPr>
          <w:rFonts w:cs="Arial"/>
          <w:b/>
          <w:szCs w:val="24"/>
          <w:lang w:val="en-US"/>
        </w:rPr>
        <w:t>Technical Evaluation</w:t>
      </w:r>
      <w:r w:rsidR="0028507F" w:rsidRPr="00AE54E4">
        <w:rPr>
          <w:rFonts w:cs="Arial"/>
          <w:szCs w:val="24"/>
          <w:u w:val="single"/>
          <w:lang w:val="en-US"/>
        </w:rPr>
        <w:t xml:space="preserve"> </w:t>
      </w:r>
    </w:p>
    <w:p w14:paraId="2FFA7C9F" w14:textId="77777777" w:rsidR="0028507F" w:rsidRPr="00AE54E4" w:rsidRDefault="0028507F" w:rsidP="0028507F">
      <w:pPr>
        <w:ind w:left="720" w:hanging="720"/>
        <w:rPr>
          <w:rFonts w:cs="Arial"/>
          <w:szCs w:val="24"/>
          <w:u w:val="single"/>
          <w:lang w:val="en-US"/>
        </w:rPr>
      </w:pPr>
    </w:p>
    <w:p w14:paraId="378BB482" w14:textId="77777777" w:rsidR="0028507F" w:rsidRPr="00AE54E4" w:rsidRDefault="0028507F" w:rsidP="0028507F">
      <w:pPr>
        <w:ind w:left="720" w:hanging="720"/>
        <w:rPr>
          <w:rFonts w:cs="Arial"/>
          <w:szCs w:val="24"/>
          <w:lang w:val="en-US"/>
        </w:rPr>
      </w:pPr>
      <w:r w:rsidRPr="00AE54E4">
        <w:rPr>
          <w:rFonts w:cs="Arial"/>
          <w:szCs w:val="24"/>
          <w:lang w:val="en-US"/>
        </w:rPr>
        <w:tab/>
        <w:t>The technical evaluation will be scored in accordance with the table below.</w:t>
      </w:r>
    </w:p>
    <w:p w14:paraId="0598A36A" w14:textId="77777777" w:rsidR="0028507F" w:rsidRPr="00AE54E4" w:rsidRDefault="0028507F" w:rsidP="0028507F">
      <w:pPr>
        <w:ind w:left="720" w:hanging="720"/>
        <w:rPr>
          <w:rFonts w:cs="Arial"/>
          <w:szCs w:val="24"/>
          <w:lang w:val="en-US"/>
        </w:rPr>
      </w:pPr>
    </w:p>
    <w:p w14:paraId="4BC1D839" w14:textId="77777777" w:rsidR="0028507F" w:rsidRPr="00AE54E4" w:rsidRDefault="0028507F" w:rsidP="0028507F">
      <w:pPr>
        <w:ind w:left="720" w:hanging="720"/>
        <w:rPr>
          <w:rFonts w:cs="Arial"/>
          <w:szCs w:val="24"/>
          <w:lang w:val="en-US"/>
        </w:rPr>
      </w:pPr>
    </w:p>
    <w:p w14:paraId="6690DDD1" w14:textId="77777777" w:rsidR="0028507F" w:rsidRPr="00AE54E4" w:rsidRDefault="00436E70" w:rsidP="0028507F">
      <w:pPr>
        <w:ind w:left="720" w:hanging="720"/>
        <w:rPr>
          <w:rFonts w:cs="Arial"/>
          <w:b/>
          <w:szCs w:val="24"/>
          <w:lang w:val="en-US"/>
        </w:rPr>
      </w:pPr>
      <w:r w:rsidRPr="00AE54E4">
        <w:rPr>
          <w:rFonts w:cs="Arial"/>
          <w:b/>
          <w:szCs w:val="24"/>
          <w:lang w:val="en-US"/>
        </w:rPr>
        <w:t>6.2</w:t>
      </w:r>
      <w:r w:rsidRPr="00AE54E4">
        <w:rPr>
          <w:rFonts w:cs="Arial"/>
          <w:b/>
          <w:szCs w:val="24"/>
          <w:lang w:val="en-US"/>
        </w:rPr>
        <w:tab/>
      </w:r>
      <w:r w:rsidR="0028507F" w:rsidRPr="00AE54E4">
        <w:rPr>
          <w:rFonts w:cs="Arial"/>
          <w:b/>
          <w:szCs w:val="24"/>
          <w:lang w:val="en-US"/>
        </w:rPr>
        <w:t>Scoring Models – Methodology and Innovations</w:t>
      </w:r>
    </w:p>
    <w:p w14:paraId="5E9A9655" w14:textId="77777777" w:rsidR="0028507F" w:rsidRPr="00AE54E4" w:rsidRDefault="0028507F" w:rsidP="0028507F">
      <w:pPr>
        <w:ind w:left="720" w:hanging="720"/>
        <w:rPr>
          <w:rFonts w:cs="Arial"/>
          <w:szCs w:val="24"/>
          <w:lang w:val="en-US"/>
        </w:rPr>
      </w:pPr>
    </w:p>
    <w:p w14:paraId="6B861AEF" w14:textId="77777777" w:rsidR="0028507F" w:rsidRPr="00AE54E4" w:rsidRDefault="0028507F" w:rsidP="00436E70">
      <w:pPr>
        <w:ind w:left="720"/>
        <w:rPr>
          <w:rFonts w:cs="Arial"/>
          <w:szCs w:val="24"/>
          <w:lang w:eastAsia="en-GB"/>
        </w:rPr>
      </w:pPr>
      <w:r w:rsidRPr="00AE54E4">
        <w:rPr>
          <w:rFonts w:cs="Arial"/>
          <w:szCs w:val="24"/>
          <w:lang w:eastAsia="en-GB"/>
        </w:rPr>
        <w:t>For assessing the quality elements each sub criteria will be scored out of 4 (see table below) and weighted accordingly.</w:t>
      </w:r>
    </w:p>
    <w:p w14:paraId="12C43DC9" w14:textId="77777777" w:rsidR="0028507F" w:rsidRPr="00AE54E4" w:rsidRDefault="0028507F" w:rsidP="0028507F">
      <w:pPr>
        <w:ind w:left="720" w:hanging="720"/>
        <w:rPr>
          <w:rFonts w:cs="Arial"/>
          <w:szCs w:val="24"/>
          <w:lang w:val="en-US"/>
        </w:rPr>
      </w:pPr>
    </w:p>
    <w:p w14:paraId="0D82FE59" w14:textId="77777777" w:rsidR="0028507F" w:rsidRPr="00AE54E4" w:rsidRDefault="0028507F" w:rsidP="0028507F">
      <w:pPr>
        <w:ind w:left="720" w:hanging="720"/>
        <w:rPr>
          <w:rFonts w:cs="Arial"/>
          <w:szCs w:val="24"/>
          <w:lang w:val="en-US"/>
        </w:rPr>
      </w:pPr>
    </w:p>
    <w:tbl>
      <w:tblPr>
        <w:tblStyle w:val="TableGrid"/>
        <w:tblW w:w="0" w:type="auto"/>
        <w:tblInd w:w="720" w:type="dxa"/>
        <w:tblLook w:val="04A0" w:firstRow="1" w:lastRow="0" w:firstColumn="1" w:lastColumn="0" w:noHBand="0" w:noVBand="1"/>
      </w:tblPr>
      <w:tblGrid>
        <w:gridCol w:w="5654"/>
        <w:gridCol w:w="2642"/>
      </w:tblGrid>
      <w:tr w:rsidR="0028507F" w:rsidRPr="00AE54E4" w14:paraId="6EB69245" w14:textId="77777777" w:rsidTr="0028507F">
        <w:tc>
          <w:tcPr>
            <w:tcW w:w="5654" w:type="dxa"/>
            <w:shd w:val="clear" w:color="auto" w:fill="BFBFBF" w:themeFill="background1" w:themeFillShade="BF"/>
          </w:tcPr>
          <w:p w14:paraId="756443E4" w14:textId="77777777" w:rsidR="0028507F" w:rsidRPr="00AE54E4" w:rsidRDefault="0028507F" w:rsidP="0028507F">
            <w:pPr>
              <w:rPr>
                <w:rFonts w:cs="Arial"/>
                <w:szCs w:val="24"/>
                <w:lang w:val="en-US"/>
              </w:rPr>
            </w:pPr>
            <w:r w:rsidRPr="00AE54E4">
              <w:rPr>
                <w:rFonts w:cs="Arial"/>
                <w:szCs w:val="24"/>
                <w:lang w:val="en-US"/>
              </w:rPr>
              <w:t>Assessment</w:t>
            </w:r>
          </w:p>
        </w:tc>
        <w:tc>
          <w:tcPr>
            <w:tcW w:w="2642" w:type="dxa"/>
            <w:shd w:val="clear" w:color="auto" w:fill="BFBFBF" w:themeFill="background1" w:themeFillShade="BF"/>
          </w:tcPr>
          <w:p w14:paraId="228D7E70" w14:textId="77777777" w:rsidR="0028507F" w:rsidRPr="00AE54E4" w:rsidRDefault="0028507F" w:rsidP="0028507F">
            <w:pPr>
              <w:jc w:val="center"/>
              <w:rPr>
                <w:rFonts w:cs="Arial"/>
                <w:szCs w:val="24"/>
                <w:lang w:val="en-US"/>
              </w:rPr>
            </w:pPr>
            <w:r w:rsidRPr="00AE54E4">
              <w:rPr>
                <w:rFonts w:cs="Arial"/>
                <w:szCs w:val="24"/>
                <w:lang w:val="en-US"/>
              </w:rPr>
              <w:t>Allocated Score</w:t>
            </w:r>
          </w:p>
          <w:p w14:paraId="293844DD" w14:textId="77777777" w:rsidR="0028507F" w:rsidRPr="00AE54E4" w:rsidRDefault="0028507F" w:rsidP="0028507F">
            <w:pPr>
              <w:jc w:val="center"/>
              <w:rPr>
                <w:rFonts w:cs="Arial"/>
                <w:szCs w:val="24"/>
                <w:lang w:val="en-US"/>
              </w:rPr>
            </w:pPr>
          </w:p>
        </w:tc>
      </w:tr>
      <w:tr w:rsidR="0028507F" w:rsidRPr="00AE54E4" w14:paraId="22C26238" w14:textId="77777777" w:rsidTr="0028507F">
        <w:tc>
          <w:tcPr>
            <w:tcW w:w="5654" w:type="dxa"/>
          </w:tcPr>
          <w:p w14:paraId="6D1665E9" w14:textId="77777777" w:rsidR="0028507F" w:rsidRPr="00AE54E4" w:rsidRDefault="0028507F" w:rsidP="0028507F">
            <w:pPr>
              <w:rPr>
                <w:rFonts w:cs="Arial"/>
                <w:szCs w:val="24"/>
                <w:lang w:val="en-US"/>
              </w:rPr>
            </w:pPr>
          </w:p>
        </w:tc>
        <w:tc>
          <w:tcPr>
            <w:tcW w:w="2642" w:type="dxa"/>
          </w:tcPr>
          <w:p w14:paraId="0F509DCC" w14:textId="77777777" w:rsidR="0028507F" w:rsidRPr="00AE54E4" w:rsidRDefault="0028507F" w:rsidP="0028507F">
            <w:pPr>
              <w:rPr>
                <w:rFonts w:cs="Arial"/>
                <w:szCs w:val="24"/>
                <w:lang w:val="en-US"/>
              </w:rPr>
            </w:pPr>
          </w:p>
        </w:tc>
      </w:tr>
      <w:tr w:rsidR="0028507F" w:rsidRPr="00AE54E4" w14:paraId="7F1A09A7" w14:textId="77777777" w:rsidTr="0028507F">
        <w:tc>
          <w:tcPr>
            <w:tcW w:w="5654" w:type="dxa"/>
          </w:tcPr>
          <w:p w14:paraId="163EC049" w14:textId="77777777" w:rsidR="0028507F" w:rsidRPr="00AE54E4" w:rsidRDefault="0028507F" w:rsidP="0028507F">
            <w:pPr>
              <w:rPr>
                <w:rFonts w:cs="Arial"/>
                <w:szCs w:val="24"/>
                <w:lang w:val="en-US"/>
              </w:rPr>
            </w:pPr>
            <w:r w:rsidRPr="00AE54E4">
              <w:rPr>
                <w:rFonts w:cs="Arial"/>
                <w:b/>
                <w:szCs w:val="24"/>
                <w:lang w:val="en-US"/>
              </w:rPr>
              <w:t>Very poor</w:t>
            </w:r>
            <w:r w:rsidRPr="00AE54E4">
              <w:rPr>
                <w:rFonts w:cs="Arial"/>
                <w:szCs w:val="24"/>
                <w:lang w:val="en-US"/>
              </w:rPr>
              <w:t xml:space="preserve"> – [completely fails to demonstrate that it will meet the criteria</w:t>
            </w:r>
          </w:p>
        </w:tc>
        <w:tc>
          <w:tcPr>
            <w:tcW w:w="2642" w:type="dxa"/>
          </w:tcPr>
          <w:p w14:paraId="00635E01" w14:textId="77777777" w:rsidR="0028507F" w:rsidRPr="00AE54E4" w:rsidRDefault="0028507F" w:rsidP="0028507F">
            <w:pPr>
              <w:jc w:val="center"/>
              <w:rPr>
                <w:rFonts w:cs="Arial"/>
                <w:szCs w:val="24"/>
                <w:lang w:val="en-US"/>
              </w:rPr>
            </w:pPr>
            <w:r w:rsidRPr="00AE54E4">
              <w:rPr>
                <w:rFonts w:cs="Arial"/>
                <w:szCs w:val="24"/>
                <w:lang w:val="en-US"/>
              </w:rPr>
              <w:t>0</w:t>
            </w:r>
          </w:p>
        </w:tc>
      </w:tr>
      <w:tr w:rsidR="0028507F" w:rsidRPr="00AE54E4" w14:paraId="45FC0467" w14:textId="77777777" w:rsidTr="0028507F">
        <w:tc>
          <w:tcPr>
            <w:tcW w:w="5654" w:type="dxa"/>
          </w:tcPr>
          <w:p w14:paraId="24F13BD7" w14:textId="77777777" w:rsidR="0028507F" w:rsidRPr="00AE54E4" w:rsidRDefault="0028507F" w:rsidP="0028507F">
            <w:pPr>
              <w:rPr>
                <w:rFonts w:cs="Arial"/>
                <w:szCs w:val="24"/>
                <w:lang w:val="en-US"/>
              </w:rPr>
            </w:pPr>
            <w:r w:rsidRPr="00AE54E4">
              <w:rPr>
                <w:rFonts w:cs="Arial"/>
                <w:b/>
                <w:szCs w:val="24"/>
                <w:lang w:val="en-US"/>
              </w:rPr>
              <w:t>Poor</w:t>
            </w:r>
            <w:r w:rsidRPr="00AE54E4">
              <w:rPr>
                <w:rFonts w:cs="Arial"/>
                <w:szCs w:val="24"/>
                <w:lang w:val="en-US"/>
              </w:rPr>
              <w:t xml:space="preserve"> – [some, but very limited evidence of that it will meet the criteria]</w:t>
            </w:r>
          </w:p>
        </w:tc>
        <w:tc>
          <w:tcPr>
            <w:tcW w:w="2642" w:type="dxa"/>
          </w:tcPr>
          <w:p w14:paraId="559165D2" w14:textId="77777777" w:rsidR="0028507F" w:rsidRPr="00AE54E4" w:rsidRDefault="0028507F" w:rsidP="0028507F">
            <w:pPr>
              <w:jc w:val="center"/>
              <w:rPr>
                <w:rFonts w:cs="Arial"/>
                <w:szCs w:val="24"/>
                <w:lang w:val="en-US"/>
              </w:rPr>
            </w:pPr>
            <w:r w:rsidRPr="00AE54E4">
              <w:rPr>
                <w:rFonts w:cs="Arial"/>
                <w:szCs w:val="24"/>
                <w:lang w:val="en-US"/>
              </w:rPr>
              <w:t>1</w:t>
            </w:r>
          </w:p>
        </w:tc>
      </w:tr>
      <w:tr w:rsidR="0028507F" w:rsidRPr="00AE54E4" w14:paraId="6ECF66D7" w14:textId="77777777" w:rsidTr="0028507F">
        <w:tc>
          <w:tcPr>
            <w:tcW w:w="5654" w:type="dxa"/>
          </w:tcPr>
          <w:p w14:paraId="7041B875" w14:textId="77777777" w:rsidR="0028507F" w:rsidRPr="00AE54E4" w:rsidRDefault="0028507F" w:rsidP="0028507F">
            <w:pPr>
              <w:rPr>
                <w:rFonts w:cs="Arial"/>
                <w:szCs w:val="24"/>
                <w:lang w:val="en-US"/>
              </w:rPr>
            </w:pPr>
            <w:r w:rsidRPr="00AE54E4">
              <w:rPr>
                <w:rFonts w:cs="Arial"/>
                <w:b/>
                <w:szCs w:val="24"/>
                <w:lang w:val="en-US"/>
              </w:rPr>
              <w:t>Satisfactory</w:t>
            </w:r>
            <w:r w:rsidRPr="00AE54E4">
              <w:rPr>
                <w:rFonts w:cs="Arial"/>
                <w:szCs w:val="24"/>
                <w:lang w:val="en-US"/>
              </w:rPr>
              <w:t xml:space="preserve"> – [provides evidence that it will meet the criteria sufficiently] </w:t>
            </w:r>
          </w:p>
        </w:tc>
        <w:tc>
          <w:tcPr>
            <w:tcW w:w="2642" w:type="dxa"/>
          </w:tcPr>
          <w:p w14:paraId="244E66ED" w14:textId="77777777" w:rsidR="0028507F" w:rsidRPr="00AE54E4" w:rsidRDefault="0028507F" w:rsidP="0028507F">
            <w:pPr>
              <w:jc w:val="center"/>
              <w:rPr>
                <w:rFonts w:cs="Arial"/>
                <w:szCs w:val="24"/>
                <w:lang w:val="en-US"/>
              </w:rPr>
            </w:pPr>
            <w:r w:rsidRPr="00AE54E4">
              <w:rPr>
                <w:rFonts w:cs="Arial"/>
                <w:szCs w:val="24"/>
                <w:lang w:val="en-US"/>
              </w:rPr>
              <w:t>2</w:t>
            </w:r>
          </w:p>
        </w:tc>
      </w:tr>
      <w:tr w:rsidR="0028507F" w:rsidRPr="00AE54E4" w14:paraId="631E493D" w14:textId="77777777" w:rsidTr="0028507F">
        <w:tc>
          <w:tcPr>
            <w:tcW w:w="5654" w:type="dxa"/>
          </w:tcPr>
          <w:p w14:paraId="25A930A8" w14:textId="77777777" w:rsidR="0028507F" w:rsidRPr="00AE54E4" w:rsidRDefault="0028507F" w:rsidP="0028507F">
            <w:pPr>
              <w:rPr>
                <w:rFonts w:cs="Arial"/>
                <w:szCs w:val="24"/>
                <w:lang w:val="en-US"/>
              </w:rPr>
            </w:pPr>
            <w:r w:rsidRPr="00AE54E4">
              <w:rPr>
                <w:rFonts w:cs="Arial"/>
                <w:b/>
                <w:szCs w:val="24"/>
                <w:lang w:val="en-US"/>
              </w:rPr>
              <w:t>Good</w:t>
            </w:r>
            <w:r w:rsidRPr="00AE54E4">
              <w:rPr>
                <w:rFonts w:cs="Arial"/>
                <w:szCs w:val="24"/>
                <w:lang w:val="en-US"/>
              </w:rPr>
              <w:t xml:space="preserve"> – [shows attributes in a number of areas that area in excess of the criteria]</w:t>
            </w:r>
          </w:p>
        </w:tc>
        <w:tc>
          <w:tcPr>
            <w:tcW w:w="2642" w:type="dxa"/>
          </w:tcPr>
          <w:p w14:paraId="66BC5BE5" w14:textId="77777777" w:rsidR="0028507F" w:rsidRPr="00AE54E4" w:rsidRDefault="0028507F" w:rsidP="0028507F">
            <w:pPr>
              <w:jc w:val="center"/>
              <w:rPr>
                <w:rFonts w:cs="Arial"/>
                <w:szCs w:val="24"/>
                <w:lang w:val="en-US"/>
              </w:rPr>
            </w:pPr>
            <w:r w:rsidRPr="00AE54E4">
              <w:rPr>
                <w:rFonts w:cs="Arial"/>
                <w:szCs w:val="24"/>
                <w:lang w:val="en-US"/>
              </w:rPr>
              <w:t>3</w:t>
            </w:r>
          </w:p>
        </w:tc>
      </w:tr>
      <w:tr w:rsidR="0028507F" w:rsidRPr="00AE54E4" w14:paraId="7BE5AF22" w14:textId="77777777" w:rsidTr="0028507F">
        <w:tc>
          <w:tcPr>
            <w:tcW w:w="5654" w:type="dxa"/>
          </w:tcPr>
          <w:p w14:paraId="1BEC9C54" w14:textId="77777777" w:rsidR="0028507F" w:rsidRPr="00AE54E4" w:rsidRDefault="0028507F" w:rsidP="0028507F">
            <w:pPr>
              <w:rPr>
                <w:rFonts w:cs="Arial"/>
                <w:szCs w:val="24"/>
                <w:lang w:val="en-US"/>
              </w:rPr>
            </w:pPr>
            <w:r w:rsidRPr="00AE54E4">
              <w:rPr>
                <w:rFonts w:cs="Arial"/>
                <w:b/>
                <w:szCs w:val="24"/>
                <w:lang w:val="en-US"/>
              </w:rPr>
              <w:t>Very good</w:t>
            </w:r>
            <w:r w:rsidRPr="00AE54E4">
              <w:rPr>
                <w:rFonts w:cs="Arial"/>
                <w:szCs w:val="24"/>
                <w:lang w:val="en-US"/>
              </w:rPr>
              <w:t xml:space="preserve"> – [in excess of the criteria in all areas]</w:t>
            </w:r>
          </w:p>
          <w:p w14:paraId="5F35FCF5" w14:textId="77777777" w:rsidR="0028507F" w:rsidRPr="00AE54E4" w:rsidRDefault="0028507F" w:rsidP="0028507F">
            <w:pPr>
              <w:rPr>
                <w:rFonts w:cs="Arial"/>
                <w:szCs w:val="24"/>
                <w:lang w:val="en-US"/>
              </w:rPr>
            </w:pPr>
          </w:p>
        </w:tc>
        <w:tc>
          <w:tcPr>
            <w:tcW w:w="2642" w:type="dxa"/>
          </w:tcPr>
          <w:p w14:paraId="353636EB" w14:textId="77777777" w:rsidR="0028507F" w:rsidRPr="00AE54E4" w:rsidRDefault="0028507F" w:rsidP="0028507F">
            <w:pPr>
              <w:jc w:val="center"/>
              <w:rPr>
                <w:rFonts w:cs="Arial"/>
                <w:szCs w:val="24"/>
                <w:lang w:val="en-US"/>
              </w:rPr>
            </w:pPr>
            <w:r w:rsidRPr="00AE54E4">
              <w:rPr>
                <w:rFonts w:cs="Arial"/>
                <w:szCs w:val="24"/>
                <w:lang w:val="en-US"/>
              </w:rPr>
              <w:t>4</w:t>
            </w:r>
          </w:p>
        </w:tc>
      </w:tr>
    </w:tbl>
    <w:p w14:paraId="357C9C6B" w14:textId="77777777" w:rsidR="0028507F" w:rsidRPr="00AE54E4" w:rsidRDefault="0028507F" w:rsidP="0028507F">
      <w:pPr>
        <w:ind w:left="720" w:hanging="720"/>
        <w:rPr>
          <w:rFonts w:cs="Arial"/>
          <w:szCs w:val="24"/>
          <w:lang w:val="en-US"/>
        </w:rPr>
      </w:pPr>
    </w:p>
    <w:p w14:paraId="08899276" w14:textId="77777777" w:rsidR="0028507F" w:rsidRPr="00AE54E4" w:rsidRDefault="0028507F" w:rsidP="0028507F">
      <w:pPr>
        <w:widowControl w:val="0"/>
        <w:adjustRightInd w:val="0"/>
        <w:jc w:val="both"/>
        <w:textAlignment w:val="baseline"/>
        <w:outlineLvl w:val="1"/>
        <w:rPr>
          <w:rFonts w:cs="Arial"/>
          <w:sz w:val="22"/>
          <w:lang w:eastAsia="en-GB"/>
        </w:rPr>
      </w:pPr>
      <w:r w:rsidRPr="00AE54E4">
        <w:rPr>
          <w:rFonts w:cs="Arial"/>
          <w:szCs w:val="24"/>
          <w:lang w:val="en-US"/>
        </w:rPr>
        <w:tab/>
      </w:r>
    </w:p>
    <w:p w14:paraId="20C46753" w14:textId="77777777" w:rsidR="0028507F" w:rsidRPr="00AE54E4" w:rsidRDefault="0028507F" w:rsidP="00AE54E4">
      <w:pPr>
        <w:ind w:left="709"/>
        <w:rPr>
          <w:lang w:val="en-US"/>
        </w:rPr>
      </w:pPr>
      <w:r w:rsidRPr="00AE54E4">
        <w:rPr>
          <w:sz w:val="22"/>
          <w:lang w:eastAsia="en-GB"/>
        </w:rPr>
        <w:tab/>
      </w:r>
      <w:r w:rsidRPr="00AE54E4">
        <w:rPr>
          <w:lang w:val="en-US"/>
        </w:rPr>
        <w:t>All Prices shall be stated in pounds sterling and exclusive of VAT.</w:t>
      </w:r>
    </w:p>
    <w:p w14:paraId="29BCA64F" w14:textId="77777777" w:rsidR="0028507F" w:rsidRPr="00AE54E4" w:rsidRDefault="0028507F" w:rsidP="00AE54E4">
      <w:pPr>
        <w:ind w:left="709"/>
        <w:rPr>
          <w:lang w:val="en-US"/>
        </w:rPr>
      </w:pPr>
    </w:p>
    <w:p w14:paraId="4544DF4B" w14:textId="77777777" w:rsidR="0028507F" w:rsidRPr="00AE54E4" w:rsidRDefault="0028507F" w:rsidP="00AE54E4">
      <w:pPr>
        <w:ind w:left="709"/>
        <w:rPr>
          <w:lang w:val="en-US"/>
        </w:rPr>
      </w:pPr>
      <w:r w:rsidRPr="00AE54E4">
        <w:rPr>
          <w:lang w:val="en-US"/>
        </w:rPr>
        <w:tab/>
        <w:t xml:space="preserve">For assessing the cost element the following formula will be applied: </w:t>
      </w:r>
    </w:p>
    <w:p w14:paraId="7E371BBB" w14:textId="77777777" w:rsidR="0028507F" w:rsidRPr="00AE54E4" w:rsidRDefault="0028507F" w:rsidP="00AE54E4">
      <w:pPr>
        <w:ind w:left="709"/>
        <w:rPr>
          <w:lang w:val="en-US"/>
        </w:rPr>
      </w:pPr>
    </w:p>
    <w:p w14:paraId="232FCCD2" w14:textId="0DBA1550" w:rsidR="0028507F" w:rsidRPr="00AE54E4" w:rsidRDefault="003B26B5" w:rsidP="00AE54E4">
      <w:pPr>
        <w:ind w:left="709"/>
        <w:rPr>
          <w:lang w:val="en-US"/>
        </w:rPr>
      </w:pPr>
      <w:r>
        <w:rPr>
          <w:lang w:val="en-US"/>
        </w:rPr>
        <w:t>Lowest price/bidder’s price x 30</w:t>
      </w:r>
      <w:r w:rsidR="0028507F" w:rsidRPr="00AE54E4">
        <w:rPr>
          <w:lang w:val="en-US"/>
        </w:rPr>
        <w:t xml:space="preserve"> = score</w:t>
      </w:r>
    </w:p>
    <w:p w14:paraId="7242470A" w14:textId="3E561595" w:rsidR="00415E7B" w:rsidRPr="00AE54E4" w:rsidRDefault="00415E7B" w:rsidP="0028507F">
      <w:pPr>
        <w:rPr>
          <w:rFonts w:cs="Arial"/>
        </w:rPr>
      </w:pPr>
    </w:p>
    <w:sectPr w:rsidR="00415E7B" w:rsidRPr="00AE54E4" w:rsidSect="00AE54E4">
      <w:headerReference w:type="default" r:id="rId11"/>
      <w:footerReference w:type="default" r:id="rId12"/>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32AB" w14:textId="77777777" w:rsidR="00CA4B06" w:rsidRDefault="00CA4B06" w:rsidP="00B76F0E">
      <w:r>
        <w:separator/>
      </w:r>
    </w:p>
  </w:endnote>
  <w:endnote w:type="continuationSeparator" w:id="0">
    <w:p w14:paraId="4C17E1D8" w14:textId="77777777" w:rsidR="00CA4B06" w:rsidRDefault="00CA4B06" w:rsidP="00B7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184872"/>
      <w:docPartObj>
        <w:docPartGallery w:val="Page Numbers (Bottom of Page)"/>
        <w:docPartUnique/>
      </w:docPartObj>
    </w:sdtPr>
    <w:sdtEndPr>
      <w:rPr>
        <w:noProof/>
      </w:rPr>
    </w:sdtEndPr>
    <w:sdtContent>
      <w:p w14:paraId="0A95462B" w14:textId="309CAB02" w:rsidR="003B26B5" w:rsidRDefault="003B26B5">
        <w:pPr>
          <w:pStyle w:val="Footer"/>
          <w:jc w:val="right"/>
        </w:pPr>
        <w:r>
          <w:fldChar w:fldCharType="begin"/>
        </w:r>
        <w:r>
          <w:instrText xml:space="preserve"> PAGE   \* MERGEFORMAT </w:instrText>
        </w:r>
        <w:r>
          <w:fldChar w:fldCharType="separate"/>
        </w:r>
        <w:r w:rsidR="00E0198A">
          <w:rPr>
            <w:noProof/>
          </w:rPr>
          <w:t>24</w:t>
        </w:r>
        <w:r>
          <w:rPr>
            <w:noProof/>
          </w:rPr>
          <w:fldChar w:fldCharType="end"/>
        </w:r>
      </w:p>
    </w:sdtContent>
  </w:sdt>
  <w:p w14:paraId="3D7E9D61" w14:textId="77777777" w:rsidR="003B26B5" w:rsidRDefault="003B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DF7C6" w14:textId="77777777" w:rsidR="00CA4B06" w:rsidRDefault="00CA4B06" w:rsidP="00B76F0E">
      <w:r>
        <w:separator/>
      </w:r>
    </w:p>
  </w:footnote>
  <w:footnote w:type="continuationSeparator" w:id="0">
    <w:p w14:paraId="42E0593D" w14:textId="77777777" w:rsidR="00CA4B06" w:rsidRDefault="00CA4B06" w:rsidP="00B76F0E">
      <w:r>
        <w:continuationSeparator/>
      </w:r>
    </w:p>
  </w:footnote>
  <w:footnote w:id="1">
    <w:p w14:paraId="2685AFB9" w14:textId="3201B033" w:rsidR="003B26B5" w:rsidRPr="00440D1C" w:rsidRDefault="003B26B5">
      <w:pPr>
        <w:pStyle w:val="FootnoteText"/>
        <w:rPr>
          <w:lang w:val="en-US"/>
        </w:rPr>
      </w:pPr>
      <w:r>
        <w:rPr>
          <w:rStyle w:val="FootnoteReference"/>
        </w:rPr>
        <w:footnoteRef/>
      </w:r>
      <w:r>
        <w:t xml:space="preserve"> </w:t>
      </w:r>
      <w:hyperlink r:id="rId1" w:history="1">
        <w:r w:rsidRPr="000C60D7">
          <w:rPr>
            <w:rStyle w:val="Hyperlink"/>
          </w:rPr>
          <w:t>https://www.gosport.gov.uk/media/1819/HMS-Dolphin-submarine-escape-tank/pdf/HMS_Dolphin_submarine_escpape_tank.pdf?m=636976756840130000</w:t>
        </w:r>
      </w:hyperlink>
      <w:r>
        <w:t xml:space="preserve"> </w:t>
      </w:r>
    </w:p>
  </w:footnote>
  <w:footnote w:id="2">
    <w:p w14:paraId="3DA0D615" w14:textId="09D99E23" w:rsidR="003B26B5" w:rsidRPr="00235BF2" w:rsidRDefault="003B26B5">
      <w:pPr>
        <w:pStyle w:val="FootnoteText"/>
        <w:rPr>
          <w:lang w:val="en-US"/>
        </w:rPr>
      </w:pPr>
      <w:r>
        <w:rPr>
          <w:rStyle w:val="FootnoteReference"/>
        </w:rPr>
        <w:footnoteRef/>
      </w:r>
      <w:r>
        <w:t xml:space="preserve"> </w:t>
      </w:r>
      <w:hyperlink r:id="rId2" w:history="1">
        <w:r w:rsidRPr="000C60D7">
          <w:rPr>
            <w:rStyle w:val="Hyperlink"/>
          </w:rPr>
          <w:t>https://www.gosport.gov.uk/media/2352/Haslar-Peninsula-Conservation-Area/pdf/Haslar_Peninsula_CA.pdf?m=637267926141530000</w:t>
        </w:r>
      </w:hyperlink>
      <w:r>
        <w:t xml:space="preserve"> </w:t>
      </w:r>
    </w:p>
  </w:footnote>
  <w:footnote w:id="3">
    <w:p w14:paraId="3AFF1183" w14:textId="6A4CE7AF" w:rsidR="003B26B5" w:rsidRPr="00A608ED" w:rsidRDefault="003B26B5">
      <w:pPr>
        <w:pStyle w:val="FootnoteText"/>
        <w:rPr>
          <w:lang w:val="en-US"/>
        </w:rPr>
      </w:pPr>
      <w:r>
        <w:rPr>
          <w:rStyle w:val="FootnoteReference"/>
        </w:rPr>
        <w:footnoteRef/>
      </w:r>
      <w:r>
        <w:t xml:space="preserve"> </w:t>
      </w:r>
      <w:hyperlink r:id="rId3" w:history="1">
        <w:r w:rsidRPr="000C60D7">
          <w:rPr>
            <w:rStyle w:val="Hyperlink"/>
          </w:rPr>
          <w:t>https://assets.publishing.service.gov.uk/government/uploads/system/uploads/attachment_data/file/1005759/NPPF_July_2021.pdf</w:t>
        </w:r>
      </w:hyperlink>
      <w:r>
        <w:t xml:space="preserve"> </w:t>
      </w:r>
    </w:p>
  </w:footnote>
  <w:footnote w:id="4">
    <w:p w14:paraId="5F872EDA" w14:textId="2C92A5CE" w:rsidR="003B26B5" w:rsidRPr="005801AD" w:rsidRDefault="003B26B5">
      <w:pPr>
        <w:pStyle w:val="FootnoteText"/>
        <w:rPr>
          <w:lang w:val="en-US"/>
        </w:rPr>
      </w:pPr>
      <w:r>
        <w:rPr>
          <w:rStyle w:val="FootnoteReference"/>
        </w:rPr>
        <w:footnoteRef/>
      </w:r>
      <w:r>
        <w:t xml:space="preserve"> </w:t>
      </w:r>
      <w:hyperlink r:id="rId4" w:history="1">
        <w:r w:rsidRPr="000C60D7">
          <w:rPr>
            <w:rStyle w:val="Hyperlink"/>
          </w:rPr>
          <w:t>https://www.gov.uk/guidance/conserving-and-enhancing-the-historic-environment</w:t>
        </w:r>
      </w:hyperlink>
      <w:r>
        <w:t xml:space="preserve"> </w:t>
      </w:r>
    </w:p>
  </w:footnote>
  <w:footnote w:id="5">
    <w:p w14:paraId="63BC85D8" w14:textId="7863730B" w:rsidR="003B26B5" w:rsidRPr="005801AD" w:rsidRDefault="003B26B5">
      <w:pPr>
        <w:pStyle w:val="FootnoteText"/>
        <w:rPr>
          <w:lang w:val="en-US"/>
        </w:rPr>
      </w:pPr>
      <w:r>
        <w:rPr>
          <w:rStyle w:val="FootnoteReference"/>
        </w:rPr>
        <w:footnoteRef/>
      </w:r>
      <w:r>
        <w:t xml:space="preserve"> </w:t>
      </w:r>
      <w:hyperlink r:id="rId5" w:history="1">
        <w:r w:rsidRPr="000C60D7">
          <w:rPr>
            <w:rStyle w:val="Hyperlink"/>
          </w:rPr>
          <w:t>https://www.gosport.gov.uk/media/1210/Local-Plan-2011-2019-Written-Statement/pdf/Gosport_Borough_Local_Plan_2011-2029_-_adopted_version_b.pdf?m=636971633273370000</w:t>
        </w:r>
      </w:hyperlink>
      <w:r>
        <w:t xml:space="preserve"> </w:t>
      </w:r>
    </w:p>
  </w:footnote>
  <w:footnote w:id="6">
    <w:p w14:paraId="5125765E" w14:textId="0FBDBF52" w:rsidR="003B26B5" w:rsidRPr="00A71CBE" w:rsidRDefault="003B26B5">
      <w:pPr>
        <w:pStyle w:val="FootnoteText"/>
        <w:rPr>
          <w:lang w:val="en-US"/>
        </w:rPr>
      </w:pPr>
      <w:r>
        <w:rPr>
          <w:rStyle w:val="FootnoteReference"/>
        </w:rPr>
        <w:footnoteRef/>
      </w:r>
      <w:r>
        <w:t xml:space="preserve"> </w:t>
      </w:r>
      <w:r w:rsidRPr="00A71CBE">
        <w:t>https://www.gosport.gov.uk/gblp2038</w:t>
      </w:r>
    </w:p>
  </w:footnote>
  <w:footnote w:id="7">
    <w:p w14:paraId="6FA2245E" w14:textId="03B75036" w:rsidR="003B26B5" w:rsidRPr="00554222" w:rsidRDefault="003B26B5">
      <w:pPr>
        <w:pStyle w:val="FootnoteText"/>
        <w:rPr>
          <w:lang w:val="en-US"/>
        </w:rPr>
      </w:pPr>
      <w:r>
        <w:rPr>
          <w:rStyle w:val="FootnoteReference"/>
        </w:rPr>
        <w:footnoteRef/>
      </w:r>
      <w:r>
        <w:t xml:space="preserve"> </w:t>
      </w:r>
      <w:hyperlink r:id="rId6" w:history="1">
        <w:r w:rsidRPr="000C60D7">
          <w:rPr>
            <w:rStyle w:val="Hyperlink"/>
          </w:rPr>
          <w:t>https://gosporthaz.org.uk/</w:t>
        </w:r>
      </w:hyperlink>
      <w:r>
        <w:t xml:space="preserve"> and </w:t>
      </w:r>
      <w:hyperlink r:id="rId7" w:history="1">
        <w:r w:rsidRPr="000C60D7">
          <w:rPr>
            <w:rStyle w:val="Hyperlink"/>
          </w:rPr>
          <w:t>https://gosporthaz.org.uk/haz/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9D17" w14:textId="6E022C82" w:rsidR="003B26B5" w:rsidRPr="00A33DF9" w:rsidRDefault="003B26B5">
    <w:pPr>
      <w:pStyle w:val="Header"/>
      <w:rPr>
        <w:b/>
        <w:color w:val="808080" w:themeColor="background1" w:themeShade="80"/>
        <w:lang w:val="en-US"/>
      </w:rPr>
    </w:pPr>
    <w:r w:rsidRPr="00AE54E4">
      <w:rPr>
        <w:rFonts w:cs="Arial"/>
        <w:noProof/>
        <w:szCs w:val="24"/>
        <w:lang w:eastAsia="en-GB"/>
      </w:rPr>
      <w:drawing>
        <wp:anchor distT="0" distB="0" distL="114300" distR="114300" simplePos="0" relativeHeight="251659264" behindDoc="0" locked="0" layoutInCell="1" allowOverlap="1" wp14:anchorId="748B00A2" wp14:editId="0A3B28CD">
          <wp:simplePos x="0" y="0"/>
          <wp:positionH relativeFrom="column">
            <wp:posOffset>4248150</wp:posOffset>
          </wp:positionH>
          <wp:positionV relativeFrom="paragraph">
            <wp:posOffset>-97155</wp:posOffset>
          </wp:positionV>
          <wp:extent cx="1581150" cy="476503"/>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765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DF9">
      <w:rPr>
        <w:b/>
        <w:color w:val="808080" w:themeColor="background1" w:themeShade="80"/>
        <w:lang w:val="en-US"/>
      </w:rPr>
      <w:t>Invitation to Quote</w:t>
    </w:r>
    <w:r>
      <w:rPr>
        <w:b/>
        <w:color w:val="808080" w:themeColor="background1" w:themeShade="80"/>
        <w:lang w:val="en-US"/>
      </w:rPr>
      <w:t xml:space="preserve"> – SETT Study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6938"/>
    <w:multiLevelType w:val="multilevel"/>
    <w:tmpl w:val="0C9881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C8303C6"/>
    <w:multiLevelType w:val="hybridMultilevel"/>
    <w:tmpl w:val="2D9ADAFA"/>
    <w:lvl w:ilvl="0" w:tplc="4ED00030">
      <w:start w:val="1"/>
      <w:numFmt w:val="lowerLetter"/>
      <w:lvlText w:val="%1)"/>
      <w:lvlJc w:val="left"/>
      <w:pPr>
        <w:ind w:left="1440" w:hanging="360"/>
      </w:pPr>
      <w:rPr>
        <w:b/>
        <w:bCs/>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1EAA057D"/>
    <w:multiLevelType w:val="hybridMultilevel"/>
    <w:tmpl w:val="79E24E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55143C"/>
    <w:multiLevelType w:val="hybridMultilevel"/>
    <w:tmpl w:val="DC2E4D22"/>
    <w:lvl w:ilvl="0" w:tplc="8BFCB320">
      <w:start w:val="1"/>
      <w:numFmt w:val="lowerRoman"/>
      <w:lvlText w:val="%1)"/>
      <w:lvlJc w:val="left"/>
      <w:pPr>
        <w:ind w:left="1080" w:hanging="720"/>
      </w:pPr>
      <w:rPr>
        <w:rFonts w:hint="default"/>
        <w:b w:val="0"/>
        <w:bCs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42EC6"/>
    <w:multiLevelType w:val="multilevel"/>
    <w:tmpl w:val="3796FFBA"/>
    <w:lvl w:ilvl="0">
      <w:start w:val="1"/>
      <w:numFmt w:val="bullet"/>
      <w:lvlText w:val=""/>
      <w:lvlJc w:val="left"/>
      <w:pPr>
        <w:ind w:left="1440" w:hanging="720"/>
      </w:pPr>
      <w:rPr>
        <w:rFonts w:ascii="Wingdings" w:hAnsi="Wingding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5" w15:restartNumberingAfterBreak="0">
    <w:nsid w:val="30003B85"/>
    <w:multiLevelType w:val="hybridMultilevel"/>
    <w:tmpl w:val="4E0810D0"/>
    <w:lvl w:ilvl="0" w:tplc="41FA9C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D20062"/>
    <w:multiLevelType w:val="hybridMultilevel"/>
    <w:tmpl w:val="83D0239A"/>
    <w:lvl w:ilvl="0" w:tplc="FB9AEA1A">
      <w:start w:val="3"/>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BC7ACD"/>
    <w:multiLevelType w:val="hybridMultilevel"/>
    <w:tmpl w:val="8AEE71B4"/>
    <w:lvl w:ilvl="0" w:tplc="A19EAC10">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4B0561E"/>
    <w:multiLevelType w:val="hybridMultilevel"/>
    <w:tmpl w:val="0BB225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16EAF"/>
    <w:multiLevelType w:val="hybridMultilevel"/>
    <w:tmpl w:val="F522A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3D7A14"/>
    <w:multiLevelType w:val="hybridMultilevel"/>
    <w:tmpl w:val="62085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4A7E47"/>
    <w:multiLevelType w:val="hybridMultilevel"/>
    <w:tmpl w:val="2116B5B8"/>
    <w:lvl w:ilvl="0" w:tplc="2E02872C">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450B86"/>
    <w:multiLevelType w:val="hybridMultilevel"/>
    <w:tmpl w:val="D34A605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5A2B9A"/>
    <w:multiLevelType w:val="hybridMultilevel"/>
    <w:tmpl w:val="F920F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BC4C59"/>
    <w:multiLevelType w:val="hybridMultilevel"/>
    <w:tmpl w:val="67C2122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65E94"/>
    <w:multiLevelType w:val="hybridMultilevel"/>
    <w:tmpl w:val="3AD2E8C6"/>
    <w:lvl w:ilvl="0" w:tplc="33EC677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B4138"/>
    <w:multiLevelType w:val="hybridMultilevel"/>
    <w:tmpl w:val="76041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04217B"/>
    <w:multiLevelType w:val="hybridMultilevel"/>
    <w:tmpl w:val="9B2C7258"/>
    <w:lvl w:ilvl="0" w:tplc="E09EAEE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477694"/>
    <w:multiLevelType w:val="hybridMultilevel"/>
    <w:tmpl w:val="8F66D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8715BD"/>
    <w:multiLevelType w:val="hybridMultilevel"/>
    <w:tmpl w:val="51B63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652266"/>
    <w:multiLevelType w:val="hybridMultilevel"/>
    <w:tmpl w:val="53E6175A"/>
    <w:lvl w:ilvl="0" w:tplc="1E04F2F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E84C91"/>
    <w:multiLevelType w:val="hybridMultilevel"/>
    <w:tmpl w:val="774AD84E"/>
    <w:lvl w:ilvl="0" w:tplc="C670337E">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E3E215D"/>
    <w:multiLevelType w:val="multilevel"/>
    <w:tmpl w:val="63E6E4C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E21CAC"/>
    <w:multiLevelType w:val="multilevel"/>
    <w:tmpl w:val="77DE02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20"/>
  </w:num>
  <w:num w:numId="4">
    <w:abstractNumId w:val="12"/>
  </w:num>
  <w:num w:numId="5">
    <w:abstractNumId w:val="19"/>
  </w:num>
  <w:num w:numId="6">
    <w:abstractNumId w:val="9"/>
  </w:num>
  <w:num w:numId="7">
    <w:abstractNumId w:val="17"/>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22"/>
  </w:num>
  <w:num w:numId="16">
    <w:abstractNumId w:val="11"/>
  </w:num>
  <w:num w:numId="17">
    <w:abstractNumId w:val="6"/>
  </w:num>
  <w:num w:numId="18">
    <w:abstractNumId w:val="23"/>
  </w:num>
  <w:num w:numId="19">
    <w:abstractNumId w:val="18"/>
  </w:num>
  <w:num w:numId="20">
    <w:abstractNumId w:val="24"/>
  </w:num>
  <w:num w:numId="21">
    <w:abstractNumId w:val="0"/>
  </w:num>
  <w:num w:numId="22">
    <w:abstractNumId w:val="4"/>
  </w:num>
  <w:num w:numId="23">
    <w:abstractNumId w:val="13"/>
  </w:num>
  <w:num w:numId="24">
    <w:abstractNumId w:val="8"/>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C3"/>
    <w:rsid w:val="0001153F"/>
    <w:rsid w:val="00033254"/>
    <w:rsid w:val="00053635"/>
    <w:rsid w:val="0005600A"/>
    <w:rsid w:val="0005703B"/>
    <w:rsid w:val="000667A2"/>
    <w:rsid w:val="00081505"/>
    <w:rsid w:val="00094ED8"/>
    <w:rsid w:val="00097D38"/>
    <w:rsid w:val="000A111F"/>
    <w:rsid w:val="000A1471"/>
    <w:rsid w:val="000D4F40"/>
    <w:rsid w:val="000D7948"/>
    <w:rsid w:val="000F7A23"/>
    <w:rsid w:val="00104B7C"/>
    <w:rsid w:val="0011189F"/>
    <w:rsid w:val="00115237"/>
    <w:rsid w:val="0012198C"/>
    <w:rsid w:val="0012641D"/>
    <w:rsid w:val="0014209B"/>
    <w:rsid w:val="00143599"/>
    <w:rsid w:val="001441D9"/>
    <w:rsid w:val="00144C83"/>
    <w:rsid w:val="0017561C"/>
    <w:rsid w:val="001802E3"/>
    <w:rsid w:val="00183A2A"/>
    <w:rsid w:val="001A46D3"/>
    <w:rsid w:val="001A642F"/>
    <w:rsid w:val="001B5BB5"/>
    <w:rsid w:val="001C216D"/>
    <w:rsid w:val="001F1A6C"/>
    <w:rsid w:val="00213343"/>
    <w:rsid w:val="00235BF2"/>
    <w:rsid w:val="00245F1A"/>
    <w:rsid w:val="00253678"/>
    <w:rsid w:val="002678D9"/>
    <w:rsid w:val="0027117F"/>
    <w:rsid w:val="00284DDF"/>
    <w:rsid w:val="0028507F"/>
    <w:rsid w:val="00285166"/>
    <w:rsid w:val="002A55B7"/>
    <w:rsid w:val="002E5717"/>
    <w:rsid w:val="002E602C"/>
    <w:rsid w:val="00300AB4"/>
    <w:rsid w:val="00317587"/>
    <w:rsid w:val="00342529"/>
    <w:rsid w:val="00342ED4"/>
    <w:rsid w:val="00345A4A"/>
    <w:rsid w:val="003549A5"/>
    <w:rsid w:val="00355B14"/>
    <w:rsid w:val="00364C72"/>
    <w:rsid w:val="00370617"/>
    <w:rsid w:val="003748CE"/>
    <w:rsid w:val="00377011"/>
    <w:rsid w:val="0039783D"/>
    <w:rsid w:val="003A79BF"/>
    <w:rsid w:val="003B26B5"/>
    <w:rsid w:val="003B31F4"/>
    <w:rsid w:val="003C43FE"/>
    <w:rsid w:val="003D1C22"/>
    <w:rsid w:val="003D1FEF"/>
    <w:rsid w:val="003E1113"/>
    <w:rsid w:val="003E13A5"/>
    <w:rsid w:val="004070AE"/>
    <w:rsid w:val="0040751D"/>
    <w:rsid w:val="00415E7B"/>
    <w:rsid w:val="00436E70"/>
    <w:rsid w:val="00440D1C"/>
    <w:rsid w:val="00464ECA"/>
    <w:rsid w:val="004704EE"/>
    <w:rsid w:val="00473328"/>
    <w:rsid w:val="0048615B"/>
    <w:rsid w:val="00496634"/>
    <w:rsid w:val="004A0619"/>
    <w:rsid w:val="004B201C"/>
    <w:rsid w:val="004B751E"/>
    <w:rsid w:val="004D7CF0"/>
    <w:rsid w:val="004F3E5F"/>
    <w:rsid w:val="004F6F12"/>
    <w:rsid w:val="004F7014"/>
    <w:rsid w:val="00502027"/>
    <w:rsid w:val="00506F60"/>
    <w:rsid w:val="005126ED"/>
    <w:rsid w:val="0052656F"/>
    <w:rsid w:val="00527F6D"/>
    <w:rsid w:val="00532701"/>
    <w:rsid w:val="00532EC3"/>
    <w:rsid w:val="005365C3"/>
    <w:rsid w:val="005420AE"/>
    <w:rsid w:val="00543F12"/>
    <w:rsid w:val="00550A42"/>
    <w:rsid w:val="00554222"/>
    <w:rsid w:val="00566048"/>
    <w:rsid w:val="00571F77"/>
    <w:rsid w:val="00575FA0"/>
    <w:rsid w:val="005801AD"/>
    <w:rsid w:val="00581F61"/>
    <w:rsid w:val="00585164"/>
    <w:rsid w:val="005A4D64"/>
    <w:rsid w:val="005A616A"/>
    <w:rsid w:val="005A6B45"/>
    <w:rsid w:val="005B0EC7"/>
    <w:rsid w:val="005B4203"/>
    <w:rsid w:val="005C38B7"/>
    <w:rsid w:val="005D0826"/>
    <w:rsid w:val="005D664D"/>
    <w:rsid w:val="005E1410"/>
    <w:rsid w:val="005E4B22"/>
    <w:rsid w:val="0060662E"/>
    <w:rsid w:val="00615194"/>
    <w:rsid w:val="00622256"/>
    <w:rsid w:val="00633A7C"/>
    <w:rsid w:val="00642F6B"/>
    <w:rsid w:val="006447AE"/>
    <w:rsid w:val="00651EFD"/>
    <w:rsid w:val="006742A0"/>
    <w:rsid w:val="00675D41"/>
    <w:rsid w:val="006A26EF"/>
    <w:rsid w:val="006A5DD2"/>
    <w:rsid w:val="006A7934"/>
    <w:rsid w:val="006B012D"/>
    <w:rsid w:val="006B2243"/>
    <w:rsid w:val="006B5830"/>
    <w:rsid w:val="006C4B65"/>
    <w:rsid w:val="006C755B"/>
    <w:rsid w:val="006D5806"/>
    <w:rsid w:val="006F2DC7"/>
    <w:rsid w:val="007014FF"/>
    <w:rsid w:val="007147DC"/>
    <w:rsid w:val="0071488E"/>
    <w:rsid w:val="007324D2"/>
    <w:rsid w:val="007465CF"/>
    <w:rsid w:val="00756EDE"/>
    <w:rsid w:val="007615AC"/>
    <w:rsid w:val="00765169"/>
    <w:rsid w:val="00772378"/>
    <w:rsid w:val="00780A9C"/>
    <w:rsid w:val="007C4AAD"/>
    <w:rsid w:val="007C57D0"/>
    <w:rsid w:val="007E7CE3"/>
    <w:rsid w:val="0080192A"/>
    <w:rsid w:val="0080402A"/>
    <w:rsid w:val="00804F1E"/>
    <w:rsid w:val="00841C5D"/>
    <w:rsid w:val="00847888"/>
    <w:rsid w:val="00853848"/>
    <w:rsid w:val="00856817"/>
    <w:rsid w:val="00863045"/>
    <w:rsid w:val="00865236"/>
    <w:rsid w:val="00872A2E"/>
    <w:rsid w:val="008745F9"/>
    <w:rsid w:val="00874FCE"/>
    <w:rsid w:val="0087585C"/>
    <w:rsid w:val="008C1877"/>
    <w:rsid w:val="008C5825"/>
    <w:rsid w:val="008D2961"/>
    <w:rsid w:val="008D7BEF"/>
    <w:rsid w:val="008E28A4"/>
    <w:rsid w:val="008F5028"/>
    <w:rsid w:val="00903FBD"/>
    <w:rsid w:val="00910517"/>
    <w:rsid w:val="00921531"/>
    <w:rsid w:val="0092168F"/>
    <w:rsid w:val="00925A1A"/>
    <w:rsid w:val="0093647B"/>
    <w:rsid w:val="0094093D"/>
    <w:rsid w:val="009414EC"/>
    <w:rsid w:val="00941FC9"/>
    <w:rsid w:val="00944826"/>
    <w:rsid w:val="00953B3E"/>
    <w:rsid w:val="009568F4"/>
    <w:rsid w:val="009714A6"/>
    <w:rsid w:val="00985263"/>
    <w:rsid w:val="009912DD"/>
    <w:rsid w:val="009949BA"/>
    <w:rsid w:val="00997BC1"/>
    <w:rsid w:val="009A012F"/>
    <w:rsid w:val="009A455A"/>
    <w:rsid w:val="009C73A5"/>
    <w:rsid w:val="009D3D7B"/>
    <w:rsid w:val="009E1B63"/>
    <w:rsid w:val="009F36B5"/>
    <w:rsid w:val="00A33DF9"/>
    <w:rsid w:val="00A41A6E"/>
    <w:rsid w:val="00A465B2"/>
    <w:rsid w:val="00A50656"/>
    <w:rsid w:val="00A51F43"/>
    <w:rsid w:val="00A524B5"/>
    <w:rsid w:val="00A54CF6"/>
    <w:rsid w:val="00A56062"/>
    <w:rsid w:val="00A5675A"/>
    <w:rsid w:val="00A608ED"/>
    <w:rsid w:val="00A60A48"/>
    <w:rsid w:val="00A71CBE"/>
    <w:rsid w:val="00A86184"/>
    <w:rsid w:val="00A92FC1"/>
    <w:rsid w:val="00A966FE"/>
    <w:rsid w:val="00AB16CD"/>
    <w:rsid w:val="00AC502A"/>
    <w:rsid w:val="00AD6E2C"/>
    <w:rsid w:val="00AE54E4"/>
    <w:rsid w:val="00AE7CE1"/>
    <w:rsid w:val="00AF2EAC"/>
    <w:rsid w:val="00B049A3"/>
    <w:rsid w:val="00B04B6B"/>
    <w:rsid w:val="00B12628"/>
    <w:rsid w:val="00B15D0C"/>
    <w:rsid w:val="00B224C1"/>
    <w:rsid w:val="00B305E3"/>
    <w:rsid w:val="00B32DDF"/>
    <w:rsid w:val="00B348B7"/>
    <w:rsid w:val="00B52B2A"/>
    <w:rsid w:val="00B602F8"/>
    <w:rsid w:val="00B703F0"/>
    <w:rsid w:val="00B76F0E"/>
    <w:rsid w:val="00BA2BB4"/>
    <w:rsid w:val="00BA66BD"/>
    <w:rsid w:val="00BB0998"/>
    <w:rsid w:val="00BF26D9"/>
    <w:rsid w:val="00C00135"/>
    <w:rsid w:val="00C0471F"/>
    <w:rsid w:val="00C17D79"/>
    <w:rsid w:val="00C349DE"/>
    <w:rsid w:val="00C57E28"/>
    <w:rsid w:val="00C57FF0"/>
    <w:rsid w:val="00C779A9"/>
    <w:rsid w:val="00C8442B"/>
    <w:rsid w:val="00C901AD"/>
    <w:rsid w:val="00C90E97"/>
    <w:rsid w:val="00C97D21"/>
    <w:rsid w:val="00CA4B06"/>
    <w:rsid w:val="00CA4C85"/>
    <w:rsid w:val="00CA5629"/>
    <w:rsid w:val="00CB2695"/>
    <w:rsid w:val="00CC2286"/>
    <w:rsid w:val="00CC4D5A"/>
    <w:rsid w:val="00CF08A0"/>
    <w:rsid w:val="00D14BD0"/>
    <w:rsid w:val="00D23654"/>
    <w:rsid w:val="00D50948"/>
    <w:rsid w:val="00D615D8"/>
    <w:rsid w:val="00D8525E"/>
    <w:rsid w:val="00D86D5C"/>
    <w:rsid w:val="00DB2F84"/>
    <w:rsid w:val="00DB6EC0"/>
    <w:rsid w:val="00DC7CDB"/>
    <w:rsid w:val="00DD3496"/>
    <w:rsid w:val="00DE5952"/>
    <w:rsid w:val="00DF07C8"/>
    <w:rsid w:val="00E0198A"/>
    <w:rsid w:val="00E047F5"/>
    <w:rsid w:val="00E107F3"/>
    <w:rsid w:val="00E30A9C"/>
    <w:rsid w:val="00E36C1A"/>
    <w:rsid w:val="00E42F23"/>
    <w:rsid w:val="00E4416D"/>
    <w:rsid w:val="00E867B4"/>
    <w:rsid w:val="00E934ED"/>
    <w:rsid w:val="00EB388E"/>
    <w:rsid w:val="00EC123D"/>
    <w:rsid w:val="00EC49D8"/>
    <w:rsid w:val="00ED4ADD"/>
    <w:rsid w:val="00ED656F"/>
    <w:rsid w:val="00EE4BE6"/>
    <w:rsid w:val="00EE7968"/>
    <w:rsid w:val="00EF4B71"/>
    <w:rsid w:val="00F03D2D"/>
    <w:rsid w:val="00F16304"/>
    <w:rsid w:val="00F30BE6"/>
    <w:rsid w:val="00F40A0B"/>
    <w:rsid w:val="00F55771"/>
    <w:rsid w:val="00F63E78"/>
    <w:rsid w:val="00F678BC"/>
    <w:rsid w:val="00F73DEE"/>
    <w:rsid w:val="00F85DDF"/>
    <w:rsid w:val="00F862BB"/>
    <w:rsid w:val="00F96C38"/>
    <w:rsid w:val="00FC26E9"/>
    <w:rsid w:val="00FC2C3C"/>
    <w:rsid w:val="00FC4D2C"/>
    <w:rsid w:val="00FD507F"/>
    <w:rsid w:val="00FE26C0"/>
    <w:rsid w:val="00FE2841"/>
    <w:rsid w:val="00FE7585"/>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0AB8A"/>
  <w15:chartTrackingRefBased/>
  <w15:docId w15:val="{292107CA-5112-4F7E-A2FA-3AA8E97D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4E4"/>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532EC3"/>
    <w:pPr>
      <w:ind w:left="720"/>
      <w:contextualSpacing/>
    </w:pPr>
  </w:style>
  <w:style w:type="paragraph" w:styleId="FootnoteText">
    <w:name w:val="footnote text"/>
    <w:basedOn w:val="Normal"/>
    <w:link w:val="FootnoteTextChar"/>
    <w:uiPriority w:val="99"/>
    <w:semiHidden/>
    <w:unhideWhenUsed/>
    <w:rsid w:val="00B76F0E"/>
    <w:rPr>
      <w:sz w:val="20"/>
      <w:szCs w:val="20"/>
    </w:rPr>
  </w:style>
  <w:style w:type="character" w:customStyle="1" w:styleId="FootnoteTextChar">
    <w:name w:val="Footnote Text Char"/>
    <w:basedOn w:val="DefaultParagraphFont"/>
    <w:link w:val="FootnoteText"/>
    <w:uiPriority w:val="99"/>
    <w:semiHidden/>
    <w:rsid w:val="00B76F0E"/>
    <w:rPr>
      <w:sz w:val="20"/>
      <w:szCs w:val="20"/>
    </w:rPr>
  </w:style>
  <w:style w:type="character" w:styleId="FootnoteReference">
    <w:name w:val="footnote reference"/>
    <w:unhideWhenUsed/>
    <w:rsid w:val="00B76F0E"/>
    <w:rPr>
      <w:vertAlign w:val="superscript"/>
    </w:rPr>
  </w:style>
  <w:style w:type="character" w:styleId="Hyperlink">
    <w:name w:val="Hyperlink"/>
    <w:basedOn w:val="DefaultParagraphFont"/>
    <w:uiPriority w:val="99"/>
    <w:unhideWhenUsed/>
    <w:rsid w:val="00B76F0E"/>
    <w:rPr>
      <w:strike w:val="0"/>
      <w:dstrike w:val="0"/>
      <w:color w:val="17365D" w:themeColor="text2" w:themeShade="BF"/>
      <w:u w:val="none"/>
      <w:effect w:val="non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5E4B22"/>
  </w:style>
  <w:style w:type="table" w:styleId="TableGrid">
    <w:name w:val="Table Grid"/>
    <w:basedOn w:val="TableNormal"/>
    <w:uiPriority w:val="59"/>
    <w:rsid w:val="0099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2BB"/>
    <w:pPr>
      <w:autoSpaceDE w:val="0"/>
      <w:autoSpaceDN w:val="0"/>
      <w:adjustRightInd w:val="0"/>
    </w:pPr>
    <w:rPr>
      <w:rFonts w:cs="Arial"/>
      <w:color w:val="000000"/>
      <w:szCs w:val="24"/>
    </w:rPr>
  </w:style>
  <w:style w:type="paragraph" w:styleId="Header">
    <w:name w:val="header"/>
    <w:basedOn w:val="Normal"/>
    <w:link w:val="HeaderChar"/>
    <w:uiPriority w:val="99"/>
    <w:unhideWhenUsed/>
    <w:rsid w:val="0005703B"/>
    <w:pPr>
      <w:tabs>
        <w:tab w:val="center" w:pos="4513"/>
        <w:tab w:val="right" w:pos="9026"/>
      </w:tabs>
    </w:pPr>
  </w:style>
  <w:style w:type="character" w:customStyle="1" w:styleId="HeaderChar">
    <w:name w:val="Header Char"/>
    <w:basedOn w:val="DefaultParagraphFont"/>
    <w:link w:val="Header"/>
    <w:uiPriority w:val="99"/>
    <w:rsid w:val="0005703B"/>
  </w:style>
  <w:style w:type="paragraph" w:styleId="Footer">
    <w:name w:val="footer"/>
    <w:basedOn w:val="Normal"/>
    <w:link w:val="FooterChar"/>
    <w:uiPriority w:val="99"/>
    <w:unhideWhenUsed/>
    <w:rsid w:val="0005703B"/>
    <w:pPr>
      <w:tabs>
        <w:tab w:val="center" w:pos="4513"/>
        <w:tab w:val="right" w:pos="9026"/>
      </w:tabs>
    </w:pPr>
  </w:style>
  <w:style w:type="character" w:customStyle="1" w:styleId="FooterChar">
    <w:name w:val="Footer Char"/>
    <w:basedOn w:val="DefaultParagraphFont"/>
    <w:link w:val="Footer"/>
    <w:uiPriority w:val="99"/>
    <w:rsid w:val="0005703B"/>
  </w:style>
  <w:style w:type="character" w:styleId="Strong">
    <w:name w:val="Strong"/>
    <w:basedOn w:val="DefaultParagraphFont"/>
    <w:uiPriority w:val="22"/>
    <w:qFormat/>
    <w:rsid w:val="00A465B2"/>
    <w:rPr>
      <w:b/>
      <w:bCs/>
    </w:rPr>
  </w:style>
  <w:style w:type="character" w:styleId="CommentReference">
    <w:name w:val="annotation reference"/>
    <w:basedOn w:val="DefaultParagraphFont"/>
    <w:uiPriority w:val="99"/>
    <w:semiHidden/>
    <w:unhideWhenUsed/>
    <w:rsid w:val="00F16304"/>
    <w:rPr>
      <w:sz w:val="16"/>
      <w:szCs w:val="16"/>
    </w:rPr>
  </w:style>
  <w:style w:type="paragraph" w:styleId="CommentText">
    <w:name w:val="annotation text"/>
    <w:basedOn w:val="Normal"/>
    <w:link w:val="CommentTextChar"/>
    <w:uiPriority w:val="99"/>
    <w:semiHidden/>
    <w:unhideWhenUsed/>
    <w:rsid w:val="00F16304"/>
    <w:rPr>
      <w:sz w:val="20"/>
      <w:szCs w:val="20"/>
    </w:rPr>
  </w:style>
  <w:style w:type="character" w:customStyle="1" w:styleId="CommentTextChar">
    <w:name w:val="Comment Text Char"/>
    <w:basedOn w:val="DefaultParagraphFont"/>
    <w:link w:val="CommentText"/>
    <w:uiPriority w:val="99"/>
    <w:semiHidden/>
    <w:rsid w:val="00F16304"/>
    <w:rPr>
      <w:sz w:val="20"/>
      <w:szCs w:val="20"/>
    </w:rPr>
  </w:style>
  <w:style w:type="paragraph" w:styleId="CommentSubject">
    <w:name w:val="annotation subject"/>
    <w:basedOn w:val="CommentText"/>
    <w:next w:val="CommentText"/>
    <w:link w:val="CommentSubjectChar"/>
    <w:uiPriority w:val="99"/>
    <w:semiHidden/>
    <w:unhideWhenUsed/>
    <w:rsid w:val="00F16304"/>
    <w:rPr>
      <w:b/>
      <w:bCs/>
    </w:rPr>
  </w:style>
  <w:style w:type="character" w:customStyle="1" w:styleId="CommentSubjectChar">
    <w:name w:val="Comment Subject Char"/>
    <w:basedOn w:val="CommentTextChar"/>
    <w:link w:val="CommentSubject"/>
    <w:uiPriority w:val="99"/>
    <w:semiHidden/>
    <w:rsid w:val="00F16304"/>
    <w:rPr>
      <w:b/>
      <w:bCs/>
      <w:sz w:val="20"/>
      <w:szCs w:val="20"/>
    </w:rPr>
  </w:style>
  <w:style w:type="paragraph" w:styleId="BalloonText">
    <w:name w:val="Balloon Text"/>
    <w:basedOn w:val="Normal"/>
    <w:link w:val="BalloonTextChar"/>
    <w:uiPriority w:val="99"/>
    <w:semiHidden/>
    <w:unhideWhenUsed/>
    <w:rsid w:val="00F16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04"/>
    <w:rPr>
      <w:rFonts w:ascii="Segoe UI" w:hAnsi="Segoe UI" w:cs="Segoe UI"/>
      <w:sz w:val="18"/>
      <w:szCs w:val="18"/>
    </w:rPr>
  </w:style>
  <w:style w:type="table" w:customStyle="1" w:styleId="TableGrid0">
    <w:name w:val="TableGrid"/>
    <w:rsid w:val="00585164"/>
    <w:rPr>
      <w:rFonts w:asciiTheme="minorHAnsi" w:eastAsiaTheme="minorEastAsia" w:hAnsiTheme="minorHAnsi"/>
      <w:sz w:val="22"/>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E54E4"/>
    <w:rPr>
      <w:rFonts w:eastAsiaTheme="majorEastAsia" w:cstheme="majorBidi"/>
      <w:b/>
      <w:sz w:val="28"/>
      <w:szCs w:val="32"/>
    </w:rPr>
  </w:style>
  <w:style w:type="paragraph" w:styleId="TOC1">
    <w:name w:val="toc 1"/>
    <w:basedOn w:val="Normal"/>
    <w:next w:val="Normal"/>
    <w:autoRedefine/>
    <w:uiPriority w:val="39"/>
    <w:unhideWhenUsed/>
    <w:rsid w:val="00AE54E4"/>
    <w:pPr>
      <w:spacing w:after="100"/>
    </w:pPr>
  </w:style>
  <w:style w:type="paragraph" w:styleId="TOCHeading">
    <w:name w:val="TOC Heading"/>
    <w:basedOn w:val="Heading1"/>
    <w:next w:val="Normal"/>
    <w:uiPriority w:val="39"/>
    <w:unhideWhenUsed/>
    <w:qFormat/>
    <w:rsid w:val="00AE54E4"/>
    <w:pPr>
      <w:spacing w:line="259" w:lineRule="auto"/>
      <w:outlineLvl w:val="9"/>
    </w:pPr>
    <w:rPr>
      <w:lang w:val="en-US"/>
    </w:rPr>
  </w:style>
  <w:style w:type="paragraph" w:styleId="TOC2">
    <w:name w:val="toc 2"/>
    <w:basedOn w:val="Normal"/>
    <w:next w:val="Normal"/>
    <w:autoRedefine/>
    <w:uiPriority w:val="39"/>
    <w:unhideWhenUsed/>
    <w:rsid w:val="00AE54E4"/>
    <w:pPr>
      <w:spacing w:after="100"/>
      <w:ind w:left="240"/>
    </w:pPr>
  </w:style>
  <w:style w:type="paragraph" w:styleId="NoSpacing">
    <w:name w:val="No Spacing"/>
    <w:aliases w:val="Text"/>
    <w:link w:val="NoSpacingChar"/>
    <w:uiPriority w:val="1"/>
    <w:qFormat/>
    <w:rsid w:val="006F2DC7"/>
    <w:rPr>
      <w:rFonts w:asciiTheme="minorHAnsi" w:hAnsiTheme="minorHAnsi"/>
      <w:sz w:val="22"/>
    </w:rPr>
  </w:style>
  <w:style w:type="character" w:customStyle="1" w:styleId="NoSpacingChar">
    <w:name w:val="No Spacing Char"/>
    <w:aliases w:val="Text Char"/>
    <w:basedOn w:val="DefaultParagraphFont"/>
    <w:link w:val="NoSpacing"/>
    <w:uiPriority w:val="1"/>
    <w:rsid w:val="006F2DC7"/>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06741">
      <w:bodyDiv w:val="1"/>
      <w:marLeft w:val="0"/>
      <w:marRight w:val="0"/>
      <w:marTop w:val="0"/>
      <w:marBottom w:val="0"/>
      <w:divBdr>
        <w:top w:val="none" w:sz="0" w:space="0" w:color="auto"/>
        <w:left w:val="none" w:sz="0" w:space="0" w:color="auto"/>
        <w:bottom w:val="none" w:sz="0" w:space="0" w:color="auto"/>
        <w:right w:val="none" w:sz="0" w:space="0" w:color="auto"/>
      </w:divBdr>
    </w:div>
    <w:div w:id="471292957">
      <w:bodyDiv w:val="1"/>
      <w:marLeft w:val="0"/>
      <w:marRight w:val="0"/>
      <w:marTop w:val="0"/>
      <w:marBottom w:val="0"/>
      <w:divBdr>
        <w:top w:val="none" w:sz="0" w:space="0" w:color="auto"/>
        <w:left w:val="none" w:sz="0" w:space="0" w:color="auto"/>
        <w:bottom w:val="none" w:sz="0" w:space="0" w:color="auto"/>
        <w:right w:val="none" w:sz="0" w:space="0" w:color="auto"/>
      </w:divBdr>
    </w:div>
    <w:div w:id="555748263">
      <w:bodyDiv w:val="1"/>
      <w:marLeft w:val="0"/>
      <w:marRight w:val="0"/>
      <w:marTop w:val="0"/>
      <w:marBottom w:val="0"/>
      <w:divBdr>
        <w:top w:val="none" w:sz="0" w:space="0" w:color="auto"/>
        <w:left w:val="none" w:sz="0" w:space="0" w:color="auto"/>
        <w:bottom w:val="none" w:sz="0" w:space="0" w:color="auto"/>
        <w:right w:val="none" w:sz="0" w:space="0" w:color="auto"/>
      </w:divBdr>
    </w:div>
    <w:div w:id="561913198">
      <w:bodyDiv w:val="1"/>
      <w:marLeft w:val="0"/>
      <w:marRight w:val="0"/>
      <w:marTop w:val="0"/>
      <w:marBottom w:val="0"/>
      <w:divBdr>
        <w:top w:val="none" w:sz="0" w:space="0" w:color="auto"/>
        <w:left w:val="none" w:sz="0" w:space="0" w:color="auto"/>
        <w:bottom w:val="none" w:sz="0" w:space="0" w:color="auto"/>
        <w:right w:val="none" w:sz="0" w:space="0" w:color="auto"/>
      </w:divBdr>
    </w:div>
    <w:div w:id="604726202">
      <w:bodyDiv w:val="1"/>
      <w:marLeft w:val="0"/>
      <w:marRight w:val="0"/>
      <w:marTop w:val="0"/>
      <w:marBottom w:val="0"/>
      <w:divBdr>
        <w:top w:val="none" w:sz="0" w:space="0" w:color="auto"/>
        <w:left w:val="none" w:sz="0" w:space="0" w:color="auto"/>
        <w:bottom w:val="none" w:sz="0" w:space="0" w:color="auto"/>
        <w:right w:val="none" w:sz="0" w:space="0" w:color="auto"/>
      </w:divBdr>
    </w:div>
    <w:div w:id="787697916">
      <w:bodyDiv w:val="1"/>
      <w:marLeft w:val="0"/>
      <w:marRight w:val="0"/>
      <w:marTop w:val="0"/>
      <w:marBottom w:val="0"/>
      <w:divBdr>
        <w:top w:val="none" w:sz="0" w:space="0" w:color="auto"/>
        <w:left w:val="none" w:sz="0" w:space="0" w:color="auto"/>
        <w:bottom w:val="none" w:sz="0" w:space="0" w:color="auto"/>
        <w:right w:val="none" w:sz="0" w:space="0" w:color="auto"/>
      </w:divBdr>
    </w:div>
    <w:div w:id="862404713">
      <w:bodyDiv w:val="1"/>
      <w:marLeft w:val="0"/>
      <w:marRight w:val="0"/>
      <w:marTop w:val="0"/>
      <w:marBottom w:val="0"/>
      <w:divBdr>
        <w:top w:val="none" w:sz="0" w:space="0" w:color="auto"/>
        <w:left w:val="none" w:sz="0" w:space="0" w:color="auto"/>
        <w:bottom w:val="none" w:sz="0" w:space="0" w:color="auto"/>
        <w:right w:val="none" w:sz="0" w:space="0" w:color="auto"/>
      </w:divBdr>
    </w:div>
    <w:div w:id="897976322">
      <w:bodyDiv w:val="1"/>
      <w:marLeft w:val="0"/>
      <w:marRight w:val="0"/>
      <w:marTop w:val="0"/>
      <w:marBottom w:val="0"/>
      <w:divBdr>
        <w:top w:val="none" w:sz="0" w:space="0" w:color="auto"/>
        <w:left w:val="none" w:sz="0" w:space="0" w:color="auto"/>
        <w:bottom w:val="none" w:sz="0" w:space="0" w:color="auto"/>
        <w:right w:val="none" w:sz="0" w:space="0" w:color="auto"/>
      </w:divBdr>
    </w:div>
    <w:div w:id="906576381">
      <w:bodyDiv w:val="1"/>
      <w:marLeft w:val="0"/>
      <w:marRight w:val="0"/>
      <w:marTop w:val="0"/>
      <w:marBottom w:val="0"/>
      <w:divBdr>
        <w:top w:val="none" w:sz="0" w:space="0" w:color="auto"/>
        <w:left w:val="none" w:sz="0" w:space="0" w:color="auto"/>
        <w:bottom w:val="none" w:sz="0" w:space="0" w:color="auto"/>
        <w:right w:val="none" w:sz="0" w:space="0" w:color="auto"/>
      </w:divBdr>
    </w:div>
    <w:div w:id="1100953243">
      <w:bodyDiv w:val="1"/>
      <w:marLeft w:val="0"/>
      <w:marRight w:val="0"/>
      <w:marTop w:val="0"/>
      <w:marBottom w:val="0"/>
      <w:divBdr>
        <w:top w:val="none" w:sz="0" w:space="0" w:color="auto"/>
        <w:left w:val="none" w:sz="0" w:space="0" w:color="auto"/>
        <w:bottom w:val="none" w:sz="0" w:space="0" w:color="auto"/>
        <w:right w:val="none" w:sz="0" w:space="0" w:color="auto"/>
      </w:divBdr>
    </w:div>
    <w:div w:id="1290745908">
      <w:bodyDiv w:val="1"/>
      <w:marLeft w:val="0"/>
      <w:marRight w:val="0"/>
      <w:marTop w:val="0"/>
      <w:marBottom w:val="0"/>
      <w:divBdr>
        <w:top w:val="none" w:sz="0" w:space="0" w:color="auto"/>
        <w:left w:val="none" w:sz="0" w:space="0" w:color="auto"/>
        <w:bottom w:val="none" w:sz="0" w:space="0" w:color="auto"/>
        <w:right w:val="none" w:sz="0" w:space="0" w:color="auto"/>
      </w:divBdr>
    </w:div>
    <w:div w:id="1482187651">
      <w:bodyDiv w:val="1"/>
      <w:marLeft w:val="0"/>
      <w:marRight w:val="0"/>
      <w:marTop w:val="0"/>
      <w:marBottom w:val="0"/>
      <w:divBdr>
        <w:top w:val="none" w:sz="0" w:space="0" w:color="auto"/>
        <w:left w:val="none" w:sz="0" w:space="0" w:color="auto"/>
        <w:bottom w:val="none" w:sz="0" w:space="0" w:color="auto"/>
        <w:right w:val="none" w:sz="0" w:space="0" w:color="auto"/>
      </w:divBdr>
    </w:div>
    <w:div w:id="1514345411">
      <w:bodyDiv w:val="1"/>
      <w:marLeft w:val="0"/>
      <w:marRight w:val="0"/>
      <w:marTop w:val="0"/>
      <w:marBottom w:val="0"/>
      <w:divBdr>
        <w:top w:val="none" w:sz="0" w:space="0" w:color="auto"/>
        <w:left w:val="none" w:sz="0" w:space="0" w:color="auto"/>
        <w:bottom w:val="none" w:sz="0" w:space="0" w:color="auto"/>
        <w:right w:val="none" w:sz="0" w:space="0" w:color="auto"/>
      </w:divBdr>
    </w:div>
    <w:div w:id="1579900000">
      <w:bodyDiv w:val="1"/>
      <w:marLeft w:val="0"/>
      <w:marRight w:val="0"/>
      <w:marTop w:val="0"/>
      <w:marBottom w:val="0"/>
      <w:divBdr>
        <w:top w:val="none" w:sz="0" w:space="0" w:color="auto"/>
        <w:left w:val="none" w:sz="0" w:space="0" w:color="auto"/>
        <w:bottom w:val="none" w:sz="0" w:space="0" w:color="auto"/>
        <w:right w:val="none" w:sz="0" w:space="0" w:color="auto"/>
      </w:divBdr>
    </w:div>
    <w:div w:id="17883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andprocurement@gospor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ingandprocurement@gosport.gov.uk" TargetMode="External"/><Relationship Id="rId4" Type="http://schemas.openxmlformats.org/officeDocument/2006/relationships/settings" Target="settings.xml"/><Relationship Id="rId9" Type="http://schemas.openxmlformats.org/officeDocument/2006/relationships/hyperlink" Target="https://sebp.due-north.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005759/NPPF_July_2021.pdf" TargetMode="External"/><Relationship Id="rId7" Type="http://schemas.openxmlformats.org/officeDocument/2006/relationships/hyperlink" Target="https://gosporthaz.org.uk/haz/" TargetMode="External"/><Relationship Id="rId2" Type="http://schemas.openxmlformats.org/officeDocument/2006/relationships/hyperlink" Target="https://www.gosport.gov.uk/media/2352/Haslar-Peninsula-Conservation-Area/pdf/Haslar_Peninsula_CA.pdf?m=637267926141530000" TargetMode="External"/><Relationship Id="rId1" Type="http://schemas.openxmlformats.org/officeDocument/2006/relationships/hyperlink" Target="https://www.gosport.gov.uk/media/1819/HMS-Dolphin-submarine-escape-tank/pdf/HMS_Dolphin_submarine_escpape_tank.pdf?m=636976756840130000" TargetMode="External"/><Relationship Id="rId6" Type="http://schemas.openxmlformats.org/officeDocument/2006/relationships/hyperlink" Target="https://gosporthaz.org.uk/" TargetMode="External"/><Relationship Id="rId5" Type="http://schemas.openxmlformats.org/officeDocument/2006/relationships/hyperlink" Target="https://www.gosport.gov.uk/media/1210/Local-Plan-2011-2019-Written-Statement/pdf/Gosport_Borough_Local_Plan_2011-2029_-_adopted_version_b.pdf?m=636971633273370000" TargetMode="External"/><Relationship Id="rId4" Type="http://schemas.openxmlformats.org/officeDocument/2006/relationships/hyperlink" Target="https://www.gov.uk/guidance/conserving-and-enhancing-the-historic-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ADE56-4631-4AAE-8005-73893B48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5985</Words>
  <Characters>34119</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Thain, Robert</dc:creator>
  <cp:keywords/>
  <dc:description/>
  <cp:lastModifiedBy>Lee, Nicola</cp:lastModifiedBy>
  <cp:revision>2</cp:revision>
  <cp:lastPrinted>2023-01-24T14:00:00Z</cp:lastPrinted>
  <dcterms:created xsi:type="dcterms:W3CDTF">2023-01-25T09:23:00Z</dcterms:created>
  <dcterms:modified xsi:type="dcterms:W3CDTF">2023-01-25T09:23:00Z</dcterms:modified>
</cp:coreProperties>
</file>