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A2618" w14:textId="018079A3" w:rsidR="003C7ABB" w:rsidRDefault="00110317">
      <w:pPr>
        <w:rPr>
          <w:b/>
          <w:bCs/>
          <w:sz w:val="28"/>
          <w:szCs w:val="28"/>
        </w:rPr>
      </w:pPr>
      <w:r w:rsidRPr="00110317">
        <w:rPr>
          <w:b/>
          <w:bCs/>
          <w:sz w:val="28"/>
          <w:szCs w:val="28"/>
        </w:rPr>
        <w:t>Edwards Court, Extra Care Housing Scheme</w:t>
      </w:r>
      <w:r>
        <w:rPr>
          <w:b/>
          <w:bCs/>
          <w:sz w:val="28"/>
          <w:szCs w:val="28"/>
        </w:rPr>
        <w:t>, Millbrook Village, Exeter</w:t>
      </w:r>
    </w:p>
    <w:p w14:paraId="0F0304E6" w14:textId="0A911640" w:rsidR="00110317" w:rsidRDefault="00110317" w:rsidP="00110317">
      <w:pPr>
        <w:rPr>
          <w:b/>
          <w:bCs/>
          <w:sz w:val="28"/>
          <w:szCs w:val="28"/>
        </w:rPr>
      </w:pPr>
      <w:r w:rsidRPr="00110317">
        <w:rPr>
          <w:b/>
          <w:bCs/>
          <w:sz w:val="28"/>
          <w:szCs w:val="28"/>
        </w:rPr>
        <w:t xml:space="preserve">Pre-procurement </w:t>
      </w:r>
      <w:r w:rsidR="00492206">
        <w:rPr>
          <w:b/>
          <w:bCs/>
          <w:sz w:val="28"/>
          <w:szCs w:val="28"/>
        </w:rPr>
        <w:t>Questionnaire</w:t>
      </w:r>
    </w:p>
    <w:p w14:paraId="148E076F" w14:textId="4E345694" w:rsidR="00110317" w:rsidRDefault="00110317" w:rsidP="00110317">
      <w:bookmarkStart w:id="0" w:name="_GoBack"/>
      <w:bookmarkEnd w:id="0"/>
      <w:r>
        <w:t xml:space="preserve">The attached presentation provides an overview of the proposed </w:t>
      </w:r>
      <w:r w:rsidR="00652FC9">
        <w:t xml:space="preserve">Extra Care Housing (ECH) </w:t>
      </w:r>
      <w:r>
        <w:t>scheme and we would ask you to complete the following questionnaire, even i</w:t>
      </w:r>
      <w:r w:rsidR="004A22B4">
        <w:t>f</w:t>
      </w:r>
      <w:r>
        <w:t xml:space="preserve"> you are unable to attend the planned event, to assist </w:t>
      </w:r>
      <w:r w:rsidR="00C4181B">
        <w:t>Exeter</w:t>
      </w:r>
      <w:r>
        <w:t xml:space="preserve"> City and </w:t>
      </w:r>
      <w:r w:rsidR="00C4181B">
        <w:t xml:space="preserve">Devon </w:t>
      </w:r>
      <w:r>
        <w:t xml:space="preserve">County Council </w:t>
      </w:r>
      <w:r w:rsidR="004A22B4">
        <w:t>in finalising the</w:t>
      </w:r>
      <w:r>
        <w:t xml:space="preserve"> specification for this scheme.</w:t>
      </w:r>
    </w:p>
    <w:tbl>
      <w:tblPr>
        <w:tblStyle w:val="TableGrid"/>
        <w:tblW w:w="87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</w:tblGrid>
      <w:tr w:rsidR="00110317" w14:paraId="2B722E09" w14:textId="77777777" w:rsidTr="00910FCD">
        <w:tc>
          <w:tcPr>
            <w:tcW w:w="562" w:type="dxa"/>
          </w:tcPr>
          <w:p w14:paraId="657658A2" w14:textId="62DBCC3B" w:rsidR="00110317" w:rsidRDefault="00110317" w:rsidP="00110317">
            <w:r>
              <w:t>1.</w:t>
            </w:r>
          </w:p>
        </w:tc>
        <w:tc>
          <w:tcPr>
            <w:tcW w:w="8222" w:type="dxa"/>
          </w:tcPr>
          <w:p w14:paraId="083319D1" w14:textId="2BBD41F1" w:rsidR="00110317" w:rsidRDefault="00110317" w:rsidP="00110317">
            <w:r w:rsidRPr="00110317">
              <w:t xml:space="preserve">Consideration is being given to offering </w:t>
            </w:r>
            <w:r w:rsidR="00C4181B">
              <w:t>the successful</w:t>
            </w:r>
            <w:r w:rsidRPr="00110317">
              <w:t xml:space="preserve"> </w:t>
            </w:r>
            <w:r w:rsidR="00FF29BE">
              <w:t>bidder</w:t>
            </w:r>
            <w:r w:rsidRPr="00110317">
              <w:t xml:space="preserve"> a full repairing lease extending to 30 years – </w:t>
            </w:r>
            <w:r w:rsidR="004A22B4">
              <w:t xml:space="preserve">with either </w:t>
            </w:r>
            <w:r w:rsidR="00C4181B">
              <w:t xml:space="preserve">a </w:t>
            </w:r>
            <w:r w:rsidRPr="00110317">
              <w:t xml:space="preserve">rental </w:t>
            </w:r>
            <w:r w:rsidR="00A43CD3">
              <w:t>or</w:t>
            </w:r>
            <w:r w:rsidRPr="00110317">
              <w:t xml:space="preserve"> a premium</w:t>
            </w:r>
            <w:r w:rsidR="004A22B4">
              <w:t xml:space="preserve"> payment covering the City Council’s capital cost</w:t>
            </w:r>
            <w:r w:rsidRPr="00110317">
              <w:t xml:space="preserve"> for the building payable to ECC</w:t>
            </w:r>
            <w:r>
              <w:t>. What are your views on this proposal</w:t>
            </w:r>
            <w:r w:rsidR="00C4181B">
              <w:t xml:space="preserve"> and the rental / premium options</w:t>
            </w:r>
            <w:r>
              <w:t>?</w:t>
            </w:r>
          </w:p>
        </w:tc>
      </w:tr>
      <w:tr w:rsidR="00110317" w14:paraId="4B074CBC" w14:textId="77777777" w:rsidTr="00910FCD">
        <w:tc>
          <w:tcPr>
            <w:tcW w:w="562" w:type="dxa"/>
          </w:tcPr>
          <w:p w14:paraId="565CD135" w14:textId="77777777" w:rsidR="00110317" w:rsidRDefault="00110317" w:rsidP="00110317"/>
        </w:tc>
        <w:tc>
          <w:tcPr>
            <w:tcW w:w="8222" w:type="dxa"/>
          </w:tcPr>
          <w:p w14:paraId="4236F736" w14:textId="77777777" w:rsidR="00110317" w:rsidRDefault="00110317" w:rsidP="00110317"/>
          <w:p w14:paraId="66CC6424" w14:textId="77777777" w:rsidR="00110317" w:rsidRDefault="00110317" w:rsidP="00110317"/>
          <w:p w14:paraId="61B72BFC" w14:textId="77777777" w:rsidR="00110317" w:rsidRDefault="00110317" w:rsidP="00110317"/>
          <w:p w14:paraId="0B814F6E" w14:textId="77777777" w:rsidR="00110317" w:rsidRDefault="00110317" w:rsidP="00110317"/>
          <w:p w14:paraId="3A077A4F" w14:textId="77777777" w:rsidR="00110317" w:rsidRDefault="00110317" w:rsidP="00110317"/>
          <w:p w14:paraId="37C2BE76" w14:textId="77777777" w:rsidR="00110317" w:rsidRDefault="00110317" w:rsidP="00110317"/>
          <w:p w14:paraId="4CC7D0FF" w14:textId="77777777" w:rsidR="00110317" w:rsidRDefault="00110317" w:rsidP="00110317"/>
          <w:p w14:paraId="0E223E22" w14:textId="77777777" w:rsidR="00110317" w:rsidRDefault="00110317" w:rsidP="00110317"/>
          <w:p w14:paraId="39E0A77F" w14:textId="77777777" w:rsidR="00110317" w:rsidRDefault="00110317" w:rsidP="00110317"/>
          <w:p w14:paraId="1462C0F2" w14:textId="77777777" w:rsidR="00110317" w:rsidRDefault="00110317" w:rsidP="00110317"/>
          <w:p w14:paraId="6D701F9D" w14:textId="77777777" w:rsidR="00110317" w:rsidRDefault="00110317" w:rsidP="00110317"/>
          <w:p w14:paraId="41D2B219" w14:textId="2B90CF5E" w:rsidR="00110317" w:rsidRDefault="00110317" w:rsidP="00110317"/>
        </w:tc>
      </w:tr>
    </w:tbl>
    <w:p w14:paraId="6232F4EA" w14:textId="77777777" w:rsidR="00110317" w:rsidRPr="00110317" w:rsidRDefault="00110317" w:rsidP="00110317"/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</w:tblGrid>
      <w:tr w:rsidR="00110317" w:rsidRPr="00110317" w14:paraId="092F04BF" w14:textId="77777777" w:rsidTr="00910FCD">
        <w:tc>
          <w:tcPr>
            <w:tcW w:w="562" w:type="dxa"/>
          </w:tcPr>
          <w:p w14:paraId="3B5D0A99" w14:textId="0B458966" w:rsidR="00110317" w:rsidRPr="00110317" w:rsidRDefault="00110317">
            <w:r w:rsidRPr="00110317">
              <w:t>2.</w:t>
            </w:r>
          </w:p>
        </w:tc>
        <w:tc>
          <w:tcPr>
            <w:tcW w:w="8222" w:type="dxa"/>
          </w:tcPr>
          <w:p w14:paraId="7B6C6A18" w14:textId="1F1C230F" w:rsidR="00110317" w:rsidRPr="00110317" w:rsidRDefault="00C4181B">
            <w:r>
              <w:t xml:space="preserve">The City Council are not planning to ‘fit out’ the building </w:t>
            </w:r>
            <w:r w:rsidR="004A22B4">
              <w:t>once construction is completed, but to require the bidder to do so.  T</w:t>
            </w:r>
            <w:r>
              <w:t>o assist with timetabling</w:t>
            </w:r>
            <w:r w:rsidR="00AC1448">
              <w:t>,</w:t>
            </w:r>
            <w:r>
              <w:t xml:space="preserve"> </w:t>
            </w:r>
            <w:r w:rsidR="004A22B4">
              <w:t xml:space="preserve">in your experience, what would you consider a typical timeframe </w:t>
            </w:r>
            <w:r>
              <w:t xml:space="preserve"> after practical completion before the building will be let to the first residents.</w:t>
            </w:r>
          </w:p>
        </w:tc>
      </w:tr>
      <w:tr w:rsidR="00110317" w:rsidRPr="00110317" w14:paraId="2FAED03C" w14:textId="77777777" w:rsidTr="00910FCD">
        <w:tc>
          <w:tcPr>
            <w:tcW w:w="562" w:type="dxa"/>
          </w:tcPr>
          <w:p w14:paraId="6BD5C7C2" w14:textId="77777777" w:rsidR="00110317" w:rsidRPr="00110317" w:rsidRDefault="00110317"/>
        </w:tc>
        <w:tc>
          <w:tcPr>
            <w:tcW w:w="8222" w:type="dxa"/>
          </w:tcPr>
          <w:p w14:paraId="7DBE9FA0" w14:textId="77777777" w:rsidR="00110317" w:rsidRDefault="00110317"/>
          <w:p w14:paraId="0881B5FF" w14:textId="77777777" w:rsidR="00C4181B" w:rsidRDefault="00C4181B"/>
          <w:p w14:paraId="04E9FE8D" w14:textId="77777777" w:rsidR="00C4181B" w:rsidRDefault="00C4181B"/>
          <w:p w14:paraId="18846995" w14:textId="77777777" w:rsidR="00C4181B" w:rsidRDefault="00C4181B"/>
          <w:p w14:paraId="063FDB7F" w14:textId="77777777" w:rsidR="00C4181B" w:rsidRDefault="00C4181B"/>
          <w:p w14:paraId="1D72F862" w14:textId="77777777" w:rsidR="00C4181B" w:rsidRDefault="00C4181B"/>
          <w:p w14:paraId="0D61FC52" w14:textId="77777777" w:rsidR="00C4181B" w:rsidRDefault="00C4181B"/>
          <w:p w14:paraId="059708AC" w14:textId="77777777" w:rsidR="00C4181B" w:rsidRDefault="00C4181B"/>
          <w:p w14:paraId="035D5C69" w14:textId="180B4DFE" w:rsidR="00C4181B" w:rsidRPr="00110317" w:rsidRDefault="00C4181B"/>
        </w:tc>
      </w:tr>
    </w:tbl>
    <w:p w14:paraId="3ABF5D0F" w14:textId="77777777" w:rsidR="00652FC9" w:rsidRDefault="00652FC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194"/>
        <w:gridCol w:w="28"/>
      </w:tblGrid>
      <w:tr w:rsidR="00C4181B" w:rsidRPr="00C4181B" w14:paraId="2DFA4FE6" w14:textId="77777777" w:rsidTr="00910FCD">
        <w:trPr>
          <w:gridAfter w:val="1"/>
          <w:wAfter w:w="28" w:type="dxa"/>
        </w:trPr>
        <w:tc>
          <w:tcPr>
            <w:tcW w:w="562" w:type="dxa"/>
          </w:tcPr>
          <w:p w14:paraId="4D144432" w14:textId="52E9AE05" w:rsidR="00C4181B" w:rsidRPr="00C4181B" w:rsidRDefault="00C4181B">
            <w:r>
              <w:t>3.</w:t>
            </w:r>
          </w:p>
        </w:tc>
        <w:tc>
          <w:tcPr>
            <w:tcW w:w="8194" w:type="dxa"/>
          </w:tcPr>
          <w:p w14:paraId="1D890E67" w14:textId="1579AFEC" w:rsidR="00C4181B" w:rsidRPr="00C4181B" w:rsidRDefault="00C4181B">
            <w:r>
              <w:t xml:space="preserve">The </w:t>
            </w:r>
            <w:r w:rsidR="004A22B4">
              <w:t xml:space="preserve">successful bidder </w:t>
            </w:r>
            <w:r>
              <w:t xml:space="preserve"> will be the landlord and there is a requirement to let the properties on Periodic Assured Tenancies. Do you have any views on this approach</w:t>
            </w:r>
            <w:r w:rsidR="00652FC9">
              <w:t>?</w:t>
            </w:r>
          </w:p>
        </w:tc>
      </w:tr>
      <w:tr w:rsidR="00652FC9" w:rsidRPr="00652FC9" w14:paraId="2A2EB41B" w14:textId="77777777" w:rsidTr="00910FCD">
        <w:tc>
          <w:tcPr>
            <w:tcW w:w="562" w:type="dxa"/>
          </w:tcPr>
          <w:p w14:paraId="48D2B066" w14:textId="436DBD2F" w:rsidR="00652FC9" w:rsidRPr="00652FC9" w:rsidRDefault="00652FC9"/>
        </w:tc>
        <w:tc>
          <w:tcPr>
            <w:tcW w:w="8222" w:type="dxa"/>
            <w:gridSpan w:val="2"/>
          </w:tcPr>
          <w:p w14:paraId="5B8A177C" w14:textId="77777777" w:rsidR="00652FC9" w:rsidRDefault="00652FC9"/>
          <w:p w14:paraId="1BD07594" w14:textId="77777777" w:rsidR="00652FC9" w:rsidRDefault="00652FC9"/>
          <w:p w14:paraId="2E53FDC1" w14:textId="77777777" w:rsidR="00652FC9" w:rsidRDefault="00652FC9"/>
          <w:p w14:paraId="4F87CD22" w14:textId="77777777" w:rsidR="00652FC9" w:rsidRDefault="00652FC9"/>
          <w:p w14:paraId="46E212CD" w14:textId="77777777" w:rsidR="00652FC9" w:rsidRDefault="00652FC9"/>
          <w:p w14:paraId="55C60EB2" w14:textId="6378192D" w:rsidR="00652FC9" w:rsidRPr="00652FC9" w:rsidRDefault="00850B37" w:rsidP="00850B37">
            <w:pPr>
              <w:tabs>
                <w:tab w:val="left" w:pos="6890"/>
              </w:tabs>
            </w:pPr>
            <w:r>
              <w:tab/>
            </w:r>
          </w:p>
        </w:tc>
      </w:tr>
    </w:tbl>
    <w:p w14:paraId="0F2B319E" w14:textId="6968BB64" w:rsidR="00C4181B" w:rsidRDefault="00C4181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</w:tblGrid>
      <w:tr w:rsidR="00652FC9" w14:paraId="6A6C733F" w14:textId="77777777" w:rsidTr="00910FCD">
        <w:tc>
          <w:tcPr>
            <w:tcW w:w="562" w:type="dxa"/>
          </w:tcPr>
          <w:p w14:paraId="5BC1E40C" w14:textId="1152948A" w:rsidR="00652FC9" w:rsidRPr="00652FC9" w:rsidRDefault="00652FC9" w:rsidP="00652FC9">
            <w:r w:rsidRPr="00652FC9">
              <w:t>4.</w:t>
            </w:r>
          </w:p>
        </w:tc>
        <w:tc>
          <w:tcPr>
            <w:tcW w:w="8222" w:type="dxa"/>
          </w:tcPr>
          <w:p w14:paraId="38568656" w14:textId="63A30835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  <w:r>
              <w:t>As is generally the case in ECH schemes there is a requirement to provide residents with a hot two course meal 365 days per year</w:t>
            </w:r>
            <w:r w:rsidR="00AC1448">
              <w:t>, if they choose to purchase one</w:t>
            </w:r>
            <w:r>
              <w:t>. Can you please give your views on the provision of su</w:t>
            </w:r>
            <w:r w:rsidR="004A22B4">
              <w:t xml:space="preserve">ccessful catering </w:t>
            </w:r>
            <w:r>
              <w:t>service</w:t>
            </w:r>
            <w:r w:rsidR="004A22B4">
              <w:t>s in ECH schemes</w:t>
            </w:r>
            <w:r>
              <w:t>?</w:t>
            </w:r>
          </w:p>
        </w:tc>
      </w:tr>
      <w:tr w:rsidR="00652FC9" w14:paraId="43C0E11D" w14:textId="77777777" w:rsidTr="00910FCD">
        <w:tc>
          <w:tcPr>
            <w:tcW w:w="562" w:type="dxa"/>
          </w:tcPr>
          <w:p w14:paraId="5D8E2834" w14:textId="77777777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207BAD12" w14:textId="77777777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</w:p>
          <w:p w14:paraId="1F7741C5" w14:textId="77777777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</w:p>
          <w:p w14:paraId="7D4C0C39" w14:textId="77777777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</w:p>
          <w:p w14:paraId="1EE7E0C5" w14:textId="77777777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</w:p>
          <w:p w14:paraId="53FC1924" w14:textId="77777777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</w:p>
          <w:p w14:paraId="5B131F6E" w14:textId="2F915175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</w:p>
          <w:p w14:paraId="74EEB63D" w14:textId="77777777" w:rsidR="00E56705" w:rsidRDefault="00E56705" w:rsidP="00652FC9">
            <w:pPr>
              <w:rPr>
                <w:b/>
                <w:bCs/>
                <w:sz w:val="28"/>
                <w:szCs w:val="28"/>
              </w:rPr>
            </w:pPr>
          </w:p>
          <w:p w14:paraId="14C72F10" w14:textId="77777777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</w:p>
          <w:p w14:paraId="31A93772" w14:textId="07A9B667" w:rsidR="00652FC9" w:rsidRDefault="00652FC9" w:rsidP="00652F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1E9DCEB" w14:textId="623C677E" w:rsidR="00652FC9" w:rsidRDefault="00652FC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</w:tblGrid>
      <w:tr w:rsidR="00652FC9" w:rsidRPr="00AC1448" w14:paraId="2AEEF6FA" w14:textId="77777777" w:rsidTr="00910FCD">
        <w:tc>
          <w:tcPr>
            <w:tcW w:w="562" w:type="dxa"/>
          </w:tcPr>
          <w:p w14:paraId="0A8C4C66" w14:textId="346637BD" w:rsidR="00652FC9" w:rsidRPr="00AC1448" w:rsidRDefault="00652FC9">
            <w:r w:rsidRPr="00AC1448">
              <w:t>5.</w:t>
            </w:r>
          </w:p>
        </w:tc>
        <w:tc>
          <w:tcPr>
            <w:tcW w:w="8222" w:type="dxa"/>
          </w:tcPr>
          <w:p w14:paraId="435B91A3" w14:textId="111B5E2E" w:rsidR="00652FC9" w:rsidRPr="00AC1448" w:rsidRDefault="00AC1448">
            <w:r>
              <w:t xml:space="preserve">A key requirement for the </w:t>
            </w:r>
            <w:r w:rsidR="00A43CD3">
              <w:t xml:space="preserve">two </w:t>
            </w:r>
            <w:r>
              <w:t>Council</w:t>
            </w:r>
            <w:r w:rsidR="00A43CD3">
              <w:t>s</w:t>
            </w:r>
            <w:r>
              <w:t xml:space="preserve"> in commissioning the scheme is that a </w:t>
            </w:r>
            <w:r w:rsidR="004A22B4">
              <w:t>co-ordinated</w:t>
            </w:r>
            <w:r>
              <w:t xml:space="preserve"> ‘activities </w:t>
            </w:r>
            <w:r w:rsidR="001C3452">
              <w:t xml:space="preserve">and wellbeing </w:t>
            </w:r>
            <w:r>
              <w:t xml:space="preserve">programme’ is delivered. </w:t>
            </w:r>
            <w:r w:rsidR="004A22B4">
              <w:t xml:space="preserve">In your experience, what are the key factors that ensure </w:t>
            </w:r>
            <w:r w:rsidR="001C3452">
              <w:t>the success of such programmes?</w:t>
            </w:r>
          </w:p>
        </w:tc>
      </w:tr>
      <w:tr w:rsidR="00652FC9" w:rsidRPr="00AC1448" w14:paraId="2BAD27C8" w14:textId="77777777" w:rsidTr="00910FCD">
        <w:tc>
          <w:tcPr>
            <w:tcW w:w="562" w:type="dxa"/>
          </w:tcPr>
          <w:p w14:paraId="2C85A9B7" w14:textId="77777777" w:rsidR="00652FC9" w:rsidRPr="00AC1448" w:rsidRDefault="00652FC9"/>
        </w:tc>
        <w:tc>
          <w:tcPr>
            <w:tcW w:w="8222" w:type="dxa"/>
          </w:tcPr>
          <w:p w14:paraId="61595567" w14:textId="77777777" w:rsidR="00652FC9" w:rsidRDefault="00652FC9"/>
          <w:p w14:paraId="7717A0A0" w14:textId="77777777" w:rsidR="00AC1448" w:rsidRDefault="00AC1448"/>
          <w:p w14:paraId="468D630E" w14:textId="77777777" w:rsidR="00AC1448" w:rsidRDefault="00AC1448"/>
          <w:p w14:paraId="4E5E7B58" w14:textId="77777777" w:rsidR="00AC1448" w:rsidRDefault="00AC1448"/>
          <w:p w14:paraId="5E4B1680" w14:textId="77777777" w:rsidR="00AC1448" w:rsidRDefault="00AC1448"/>
          <w:p w14:paraId="1AFF13AF" w14:textId="77777777" w:rsidR="00AC1448" w:rsidRDefault="00AC1448"/>
          <w:p w14:paraId="6FF5BC29" w14:textId="77777777" w:rsidR="00AC1448" w:rsidRDefault="00AC1448"/>
          <w:p w14:paraId="60A1596E" w14:textId="706ADE5B" w:rsidR="00AC1448" w:rsidRDefault="00AC1448"/>
          <w:p w14:paraId="4EE12D3D" w14:textId="77777777" w:rsidR="00E56705" w:rsidRDefault="00E56705"/>
          <w:p w14:paraId="36CF09E0" w14:textId="77777777" w:rsidR="00AC1448" w:rsidRDefault="00AC1448"/>
          <w:p w14:paraId="7546BF56" w14:textId="77777777" w:rsidR="00AC1448" w:rsidRDefault="00AC1448"/>
          <w:p w14:paraId="1ECCA39B" w14:textId="3FBA9DDB" w:rsidR="00AC1448" w:rsidRPr="00AC1448" w:rsidRDefault="00AC1448"/>
        </w:tc>
      </w:tr>
    </w:tbl>
    <w:p w14:paraId="425B2890" w14:textId="2CEE7EDE" w:rsidR="00652FC9" w:rsidRDefault="00652FC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</w:tblGrid>
      <w:tr w:rsidR="00E56705" w14:paraId="08998219" w14:textId="77777777" w:rsidTr="00E56705">
        <w:tc>
          <w:tcPr>
            <w:tcW w:w="562" w:type="dxa"/>
          </w:tcPr>
          <w:p w14:paraId="14AC4889" w14:textId="0AA1110B" w:rsidR="00E56705" w:rsidRPr="00E56705" w:rsidRDefault="00E56705">
            <w:r w:rsidRPr="00E56705">
              <w:t>6.</w:t>
            </w:r>
          </w:p>
        </w:tc>
        <w:tc>
          <w:tcPr>
            <w:tcW w:w="8222" w:type="dxa"/>
          </w:tcPr>
          <w:p w14:paraId="30675E4D" w14:textId="61F8BB7D" w:rsidR="00E56705" w:rsidRPr="00E56705" w:rsidRDefault="00E56705">
            <w:r>
              <w:t>The Council envisages the scheme becoming a ‘community hub’</w:t>
            </w:r>
            <w:r w:rsidR="001C3452">
              <w:t>, with the wider community able to access the public areas of the scheme, and resident also accessing wider community services in the City</w:t>
            </w:r>
            <w:r>
              <w:t xml:space="preserve">. </w:t>
            </w:r>
            <w:r w:rsidR="001C3452">
              <w:t>Would you like to bring anything to the Council’s attention that you think they should be cognisant of in relation to this probable requirement in the service specification?</w:t>
            </w:r>
          </w:p>
        </w:tc>
      </w:tr>
      <w:tr w:rsidR="00E56705" w14:paraId="779327C6" w14:textId="77777777" w:rsidTr="00E56705">
        <w:tc>
          <w:tcPr>
            <w:tcW w:w="562" w:type="dxa"/>
          </w:tcPr>
          <w:p w14:paraId="0420AF8F" w14:textId="77777777" w:rsidR="00E56705" w:rsidRDefault="00E567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1A1D71A2" w14:textId="77777777" w:rsidR="00E56705" w:rsidRDefault="00E56705">
            <w:pPr>
              <w:rPr>
                <w:b/>
                <w:bCs/>
                <w:sz w:val="28"/>
                <w:szCs w:val="28"/>
              </w:rPr>
            </w:pPr>
          </w:p>
          <w:p w14:paraId="04343067" w14:textId="77777777" w:rsidR="00E56705" w:rsidRDefault="00E56705">
            <w:pPr>
              <w:rPr>
                <w:b/>
                <w:bCs/>
                <w:sz w:val="28"/>
                <w:szCs w:val="28"/>
              </w:rPr>
            </w:pPr>
          </w:p>
          <w:p w14:paraId="466726A8" w14:textId="77777777" w:rsidR="00E56705" w:rsidRDefault="00E56705">
            <w:pPr>
              <w:rPr>
                <w:b/>
                <w:bCs/>
                <w:sz w:val="28"/>
                <w:szCs w:val="28"/>
              </w:rPr>
            </w:pPr>
          </w:p>
          <w:p w14:paraId="63F60BCE" w14:textId="77777777" w:rsidR="00E56705" w:rsidRDefault="00E56705">
            <w:pPr>
              <w:rPr>
                <w:b/>
                <w:bCs/>
                <w:sz w:val="28"/>
                <w:szCs w:val="28"/>
              </w:rPr>
            </w:pPr>
          </w:p>
          <w:p w14:paraId="4FF3AA84" w14:textId="77777777" w:rsidR="00E56705" w:rsidRDefault="00E56705">
            <w:pPr>
              <w:rPr>
                <w:b/>
                <w:bCs/>
                <w:sz w:val="28"/>
                <w:szCs w:val="28"/>
              </w:rPr>
            </w:pPr>
          </w:p>
          <w:p w14:paraId="6B31CBF8" w14:textId="77777777" w:rsidR="00E56705" w:rsidRDefault="00E56705">
            <w:pPr>
              <w:rPr>
                <w:b/>
                <w:bCs/>
                <w:sz w:val="28"/>
                <w:szCs w:val="28"/>
              </w:rPr>
            </w:pPr>
          </w:p>
          <w:p w14:paraId="74FBB672" w14:textId="593541FF" w:rsidR="00E56705" w:rsidRDefault="00E567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485C8FD" w14:textId="77777777" w:rsidR="00E56705" w:rsidRDefault="00E5670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</w:tblGrid>
      <w:tr w:rsidR="00910FCD" w:rsidRPr="00910FCD" w14:paraId="370159BE" w14:textId="77777777" w:rsidTr="00910FCD">
        <w:tc>
          <w:tcPr>
            <w:tcW w:w="562" w:type="dxa"/>
          </w:tcPr>
          <w:p w14:paraId="1DBF5805" w14:textId="4247D7F9" w:rsidR="00910FCD" w:rsidRPr="00910FCD" w:rsidRDefault="00E56705">
            <w:r>
              <w:lastRenderedPageBreak/>
              <w:t>7.</w:t>
            </w:r>
          </w:p>
        </w:tc>
        <w:tc>
          <w:tcPr>
            <w:tcW w:w="8222" w:type="dxa"/>
          </w:tcPr>
          <w:p w14:paraId="50A076FB" w14:textId="2657B2BD" w:rsidR="00910FCD" w:rsidRPr="00910FCD" w:rsidRDefault="00910FCD">
            <w:r>
              <w:t>If you have any further comments to make please include them in the space below.</w:t>
            </w:r>
          </w:p>
        </w:tc>
      </w:tr>
      <w:tr w:rsidR="00910FCD" w:rsidRPr="00910FCD" w14:paraId="1F5A517E" w14:textId="77777777" w:rsidTr="00910FCD">
        <w:tc>
          <w:tcPr>
            <w:tcW w:w="562" w:type="dxa"/>
          </w:tcPr>
          <w:p w14:paraId="49DCB0B4" w14:textId="77777777" w:rsidR="00910FCD" w:rsidRPr="00910FCD" w:rsidRDefault="00910FCD"/>
        </w:tc>
        <w:tc>
          <w:tcPr>
            <w:tcW w:w="8222" w:type="dxa"/>
          </w:tcPr>
          <w:p w14:paraId="37B1B9EC" w14:textId="77777777" w:rsidR="00910FCD" w:rsidRDefault="00910FCD"/>
          <w:p w14:paraId="18BCAE6D" w14:textId="77777777" w:rsidR="00910FCD" w:rsidRDefault="00910FCD"/>
          <w:p w14:paraId="4ECBCABA" w14:textId="77777777" w:rsidR="00910FCD" w:rsidRDefault="00910FCD"/>
          <w:p w14:paraId="1019336F" w14:textId="77777777" w:rsidR="00910FCD" w:rsidRDefault="00910FCD"/>
          <w:p w14:paraId="1E6DCD48" w14:textId="77777777" w:rsidR="00910FCD" w:rsidRDefault="00910FCD"/>
          <w:p w14:paraId="5709B3AD" w14:textId="77777777" w:rsidR="00910FCD" w:rsidRDefault="00910FCD"/>
          <w:p w14:paraId="49FD813A" w14:textId="77777777" w:rsidR="00910FCD" w:rsidRDefault="00910FCD"/>
          <w:p w14:paraId="218D00ED" w14:textId="77777777" w:rsidR="00910FCD" w:rsidRDefault="00910FCD"/>
          <w:p w14:paraId="16014302" w14:textId="77777777" w:rsidR="00910FCD" w:rsidRDefault="00910FCD"/>
          <w:p w14:paraId="3273CBB3" w14:textId="39694177" w:rsidR="00910FCD" w:rsidRPr="00910FCD" w:rsidRDefault="00910FCD"/>
        </w:tc>
      </w:tr>
    </w:tbl>
    <w:p w14:paraId="680B50E1" w14:textId="49744FDC" w:rsidR="00910FCD" w:rsidRDefault="00910FCD">
      <w:pPr>
        <w:rPr>
          <w:b/>
          <w:bCs/>
          <w:sz w:val="28"/>
          <w:szCs w:val="28"/>
        </w:rPr>
      </w:pPr>
    </w:p>
    <w:p w14:paraId="4B88A337" w14:textId="77777777" w:rsidR="00492206" w:rsidRDefault="00492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910FCD">
        <w:rPr>
          <w:b/>
          <w:bCs/>
          <w:sz w:val="28"/>
          <w:szCs w:val="28"/>
        </w:rPr>
        <w:t>hank you for completing this questionnaire</w:t>
      </w:r>
      <w:r>
        <w:rPr>
          <w:b/>
          <w:bCs/>
          <w:sz w:val="28"/>
          <w:szCs w:val="28"/>
        </w:rPr>
        <w:t>.</w:t>
      </w:r>
    </w:p>
    <w:p w14:paraId="0E3BAC45" w14:textId="641115C1" w:rsidR="00492206" w:rsidRDefault="00492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13084F">
        <w:rPr>
          <w:b/>
          <w:bCs/>
          <w:sz w:val="28"/>
          <w:szCs w:val="28"/>
        </w:rPr>
        <w:t xml:space="preserve">lease return it to </w:t>
      </w:r>
      <w:hyperlink r:id="rId7" w:history="1">
        <w:r w:rsidR="00AC5246" w:rsidRPr="003D0598">
          <w:rPr>
            <w:rStyle w:val="Hyperlink"/>
            <w:b/>
            <w:bCs/>
            <w:sz w:val="28"/>
            <w:szCs w:val="28"/>
          </w:rPr>
          <w:t>eccprocurement@exeter.gov.uk</w:t>
        </w:r>
      </w:hyperlink>
      <w:r>
        <w:rPr>
          <w:b/>
          <w:bCs/>
          <w:sz w:val="28"/>
          <w:szCs w:val="28"/>
        </w:rPr>
        <w:t xml:space="preserve"> by 5pm on 21</w:t>
      </w:r>
      <w:r w:rsidRPr="0049220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January 2020.</w:t>
      </w:r>
    </w:p>
    <w:p w14:paraId="0E28843D" w14:textId="6ACFCB51" w:rsidR="00910FCD" w:rsidRPr="00110317" w:rsidRDefault="001308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="00910FCD">
        <w:rPr>
          <w:b/>
          <w:bCs/>
          <w:sz w:val="28"/>
          <w:szCs w:val="28"/>
        </w:rPr>
        <w:t>our responses will remain confidential.</w:t>
      </w:r>
    </w:p>
    <w:sectPr w:rsidR="00910FCD" w:rsidRPr="001103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5E883" w14:textId="77777777" w:rsidR="00D71C2A" w:rsidRDefault="00D71C2A" w:rsidP="00306B83">
      <w:pPr>
        <w:spacing w:after="0" w:line="240" w:lineRule="auto"/>
      </w:pPr>
      <w:r>
        <w:separator/>
      </w:r>
    </w:p>
  </w:endnote>
  <w:endnote w:type="continuationSeparator" w:id="0">
    <w:p w14:paraId="7F423C9D" w14:textId="77777777" w:rsidR="00D71C2A" w:rsidRDefault="00D71C2A" w:rsidP="0030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67171" w:themeColor="background2" w:themeShade="80"/>
      </w:rPr>
      <w:id w:val="61109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82F07" w14:textId="43D72109" w:rsidR="00910FCD" w:rsidRPr="00910FCD" w:rsidRDefault="00910FCD" w:rsidP="00910FCD">
        <w:pPr>
          <w:pStyle w:val="Footer"/>
          <w:rPr>
            <w:color w:val="767171" w:themeColor="background2" w:themeShade="80"/>
          </w:rPr>
        </w:pPr>
        <w:r w:rsidRPr="00910FCD">
          <w:rPr>
            <w:color w:val="767171" w:themeColor="background2" w:themeShade="80"/>
          </w:rPr>
          <w:t xml:space="preserve">Edwards Court pre-procurement engagement           </w:t>
        </w:r>
        <w:r w:rsidRPr="00910FCD">
          <w:rPr>
            <w:color w:val="767171" w:themeColor="background2" w:themeShade="80"/>
          </w:rPr>
          <w:fldChar w:fldCharType="begin"/>
        </w:r>
        <w:r w:rsidRPr="00910FCD">
          <w:rPr>
            <w:color w:val="767171" w:themeColor="background2" w:themeShade="80"/>
          </w:rPr>
          <w:instrText xml:space="preserve"> PAGE   \* MERGEFORMAT </w:instrText>
        </w:r>
        <w:r w:rsidRPr="00910FCD">
          <w:rPr>
            <w:color w:val="767171" w:themeColor="background2" w:themeShade="80"/>
          </w:rPr>
          <w:fldChar w:fldCharType="separate"/>
        </w:r>
        <w:r w:rsidR="00492206">
          <w:rPr>
            <w:noProof/>
            <w:color w:val="767171" w:themeColor="background2" w:themeShade="80"/>
          </w:rPr>
          <w:t>3</w:t>
        </w:r>
        <w:r w:rsidRPr="00910FCD">
          <w:rPr>
            <w:noProof/>
            <w:color w:val="767171" w:themeColor="background2" w:themeShade="80"/>
          </w:rPr>
          <w:fldChar w:fldCharType="end"/>
        </w:r>
        <w:r>
          <w:rPr>
            <w:noProof/>
            <w:color w:val="767171" w:themeColor="background2" w:themeShade="80"/>
          </w:rPr>
          <w:t xml:space="preserve">                                                 </w:t>
        </w:r>
        <w:r w:rsidR="00850B37">
          <w:rPr>
            <w:noProof/>
            <w:color w:val="767171" w:themeColor="background2" w:themeShade="80"/>
          </w:rPr>
          <w:t>Dec</w:t>
        </w:r>
        <w:r>
          <w:rPr>
            <w:noProof/>
            <w:color w:val="767171" w:themeColor="background2" w:themeShade="80"/>
          </w:rPr>
          <w:t>ember 2019</w:t>
        </w:r>
      </w:p>
    </w:sdtContent>
  </w:sdt>
  <w:p w14:paraId="3CD077B1" w14:textId="77777777" w:rsidR="00306B83" w:rsidRPr="00910FCD" w:rsidRDefault="00306B83">
    <w:pPr>
      <w:pStyle w:val="Foo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37427" w14:textId="77777777" w:rsidR="00D71C2A" w:rsidRDefault="00D71C2A" w:rsidP="00306B83">
      <w:pPr>
        <w:spacing w:after="0" w:line="240" w:lineRule="auto"/>
      </w:pPr>
      <w:r>
        <w:separator/>
      </w:r>
    </w:p>
  </w:footnote>
  <w:footnote w:type="continuationSeparator" w:id="0">
    <w:p w14:paraId="157CFA59" w14:textId="77777777" w:rsidR="00D71C2A" w:rsidRDefault="00D71C2A" w:rsidP="0030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F49DF"/>
    <w:multiLevelType w:val="hybridMultilevel"/>
    <w:tmpl w:val="6B9CBD6A"/>
    <w:lvl w:ilvl="0" w:tplc="3766CD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2DB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88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24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87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09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8B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68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61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43FA"/>
    <w:multiLevelType w:val="hybridMultilevel"/>
    <w:tmpl w:val="0A50F998"/>
    <w:lvl w:ilvl="0" w:tplc="BDFA9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B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06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88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03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88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C1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67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65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17"/>
    <w:rsid w:val="00110317"/>
    <w:rsid w:val="0013084F"/>
    <w:rsid w:val="001C3452"/>
    <w:rsid w:val="0027336B"/>
    <w:rsid w:val="00306B83"/>
    <w:rsid w:val="00327B66"/>
    <w:rsid w:val="003540BD"/>
    <w:rsid w:val="003C7ABB"/>
    <w:rsid w:val="00492206"/>
    <w:rsid w:val="004A22B4"/>
    <w:rsid w:val="00542819"/>
    <w:rsid w:val="005C1CD0"/>
    <w:rsid w:val="005C5EBA"/>
    <w:rsid w:val="00652FC9"/>
    <w:rsid w:val="00670E98"/>
    <w:rsid w:val="00850B37"/>
    <w:rsid w:val="00910FCD"/>
    <w:rsid w:val="00984C18"/>
    <w:rsid w:val="009970F2"/>
    <w:rsid w:val="00A43CD3"/>
    <w:rsid w:val="00AC1448"/>
    <w:rsid w:val="00AC5246"/>
    <w:rsid w:val="00BE5F91"/>
    <w:rsid w:val="00C4181B"/>
    <w:rsid w:val="00D71C2A"/>
    <w:rsid w:val="00DE56BC"/>
    <w:rsid w:val="00E56705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1B7327"/>
  <w15:chartTrackingRefBased/>
  <w15:docId w15:val="{2DBBEA6E-40D0-4B65-809C-CF73FDF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3"/>
  </w:style>
  <w:style w:type="paragraph" w:styleId="Footer">
    <w:name w:val="footer"/>
    <w:basedOn w:val="Normal"/>
    <w:link w:val="FooterChar"/>
    <w:uiPriority w:val="99"/>
    <w:unhideWhenUsed/>
    <w:rsid w:val="00306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3"/>
  </w:style>
  <w:style w:type="paragraph" w:styleId="ListParagraph">
    <w:name w:val="List Paragraph"/>
    <w:basedOn w:val="Normal"/>
    <w:uiPriority w:val="34"/>
    <w:qFormat/>
    <w:rsid w:val="00130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08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8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4">
          <w:marLeft w:val="749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520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cprocurement@exe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Howarth</dc:creator>
  <cp:keywords/>
  <dc:description/>
  <cp:lastModifiedBy>Chanelle Busby</cp:lastModifiedBy>
  <cp:revision>4</cp:revision>
  <dcterms:created xsi:type="dcterms:W3CDTF">2019-12-18T17:22:00Z</dcterms:created>
  <dcterms:modified xsi:type="dcterms:W3CDTF">2019-12-24T10:37:00Z</dcterms:modified>
</cp:coreProperties>
</file>