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9BEE" w14:textId="77777777" w:rsidR="00CF1E2A" w:rsidRDefault="00CF1E2A" w:rsidP="00CF1E2A">
      <w:pPr>
        <w:spacing w:before="60"/>
        <w:ind w:left="100" w:right="-42"/>
        <w:rPr>
          <w:sz w:val="40"/>
        </w:rPr>
      </w:pPr>
      <w:r>
        <w:rPr>
          <w:sz w:val="40"/>
        </w:rPr>
        <w:t xml:space="preserve">LONDON BOROUGH OF WALTHAM FOREST </w:t>
      </w:r>
    </w:p>
    <w:p w14:paraId="79BD47B9" w14:textId="5552E337" w:rsidR="00284351" w:rsidRDefault="00B11419" w:rsidP="00CF1E2A">
      <w:pPr>
        <w:spacing w:before="60"/>
        <w:ind w:left="100" w:right="-42"/>
        <w:rPr>
          <w:sz w:val="40"/>
        </w:rPr>
      </w:pPr>
      <w:r>
        <w:rPr>
          <w:sz w:val="40"/>
        </w:rPr>
        <w:t xml:space="preserve">VIABILITY REVIEW </w:t>
      </w:r>
      <w:r w:rsidR="00CF1E2A">
        <w:rPr>
          <w:sz w:val="40"/>
        </w:rPr>
        <w:t>STUDY BRIEF</w:t>
      </w:r>
    </w:p>
    <w:p w14:paraId="79BD47BA" w14:textId="77777777" w:rsidR="00284351" w:rsidRDefault="00284351">
      <w:pPr>
        <w:pStyle w:val="BodyText"/>
        <w:spacing w:before="1"/>
        <w:rPr>
          <w:sz w:val="40"/>
        </w:rPr>
      </w:pPr>
    </w:p>
    <w:p w14:paraId="79BD47BB" w14:textId="7057B956" w:rsidR="00284351" w:rsidRDefault="00CF1E2A">
      <w:pPr>
        <w:ind w:left="100"/>
        <w:jc w:val="both"/>
        <w:rPr>
          <w:sz w:val="28"/>
        </w:rPr>
      </w:pPr>
      <w:r>
        <w:rPr>
          <w:sz w:val="28"/>
        </w:rPr>
        <w:t xml:space="preserve">Project title: Viability Study - </w:t>
      </w:r>
      <w:r w:rsidR="00BF203F">
        <w:rPr>
          <w:sz w:val="28"/>
        </w:rPr>
        <w:t>Bakers Arms</w:t>
      </w:r>
    </w:p>
    <w:p w14:paraId="79BD47BC" w14:textId="7DE8CD04" w:rsidR="00284351" w:rsidRDefault="00CF1E2A">
      <w:pPr>
        <w:pStyle w:val="BodyText"/>
        <w:ind w:left="100"/>
        <w:jc w:val="both"/>
      </w:pPr>
      <w:r>
        <w:t xml:space="preserve">DATE: </w:t>
      </w:r>
      <w:r w:rsidR="001F388C">
        <w:t>22</w:t>
      </w:r>
      <w:r>
        <w:t>/0</w:t>
      </w:r>
      <w:r w:rsidR="00302E17">
        <w:t>1</w:t>
      </w:r>
      <w:r>
        <w:t>/202</w:t>
      </w:r>
      <w:r w:rsidR="00302E17">
        <w:t>1</w:t>
      </w:r>
    </w:p>
    <w:p w14:paraId="79BD47BD" w14:textId="77777777" w:rsidR="00284351" w:rsidRDefault="00284351">
      <w:pPr>
        <w:pStyle w:val="BodyText"/>
        <w:spacing w:before="11"/>
        <w:rPr>
          <w:sz w:val="23"/>
        </w:rPr>
      </w:pPr>
    </w:p>
    <w:p w14:paraId="79BD47BE" w14:textId="77777777" w:rsidR="00284351" w:rsidRDefault="00CF1E2A">
      <w:pPr>
        <w:pStyle w:val="BodyText"/>
        <w:ind w:left="100"/>
        <w:jc w:val="both"/>
      </w:pPr>
      <w:r>
        <w:t>----------------------</w:t>
      </w:r>
    </w:p>
    <w:p w14:paraId="79BD47BF" w14:textId="77777777" w:rsidR="00284351" w:rsidRDefault="00284351">
      <w:pPr>
        <w:pStyle w:val="BodyText"/>
        <w:spacing w:before="11"/>
        <w:rPr>
          <w:sz w:val="23"/>
        </w:rPr>
      </w:pPr>
    </w:p>
    <w:p w14:paraId="79BD47C0" w14:textId="77777777" w:rsidR="00284351" w:rsidRPr="005C0B85" w:rsidRDefault="00CF1E2A" w:rsidP="001E6DF1">
      <w:pPr>
        <w:pStyle w:val="BodyText"/>
        <w:numPr>
          <w:ilvl w:val="0"/>
          <w:numId w:val="3"/>
        </w:numPr>
        <w:spacing w:after="240"/>
        <w:jc w:val="both"/>
        <w:rPr>
          <w:b/>
          <w:bCs/>
        </w:rPr>
      </w:pPr>
      <w:r w:rsidRPr="005C0B85">
        <w:rPr>
          <w:b/>
          <w:bCs/>
        </w:rPr>
        <w:t>Introduction / Project Summary</w:t>
      </w:r>
    </w:p>
    <w:p w14:paraId="79BD47C2" w14:textId="3D0B6DE6" w:rsidR="00284351" w:rsidRPr="002F133E" w:rsidRDefault="00CF1E2A" w:rsidP="1D76BC8A">
      <w:pPr>
        <w:pStyle w:val="BodyText"/>
        <w:numPr>
          <w:ilvl w:val="1"/>
          <w:numId w:val="3"/>
        </w:numPr>
        <w:spacing w:before="7"/>
        <w:ind w:right="113"/>
        <w:jc w:val="both"/>
        <w:rPr>
          <w:sz w:val="22"/>
          <w:szCs w:val="22"/>
        </w:rPr>
      </w:pPr>
      <w:r>
        <w:t xml:space="preserve">Waltham Forest Council would like to invite you to quote to provide consultancy services to create a high-level </w:t>
      </w:r>
      <w:r w:rsidR="00302E17">
        <w:t xml:space="preserve">viability </w:t>
      </w:r>
      <w:r>
        <w:t xml:space="preserve">study for </w:t>
      </w:r>
      <w:r w:rsidR="009C272F">
        <w:t xml:space="preserve">three </w:t>
      </w:r>
      <w:r>
        <w:t>site</w:t>
      </w:r>
      <w:r w:rsidR="009C272F">
        <w:t>s</w:t>
      </w:r>
      <w:r w:rsidR="00A225DF">
        <w:t xml:space="preserve"> </w:t>
      </w:r>
      <w:r>
        <w:t xml:space="preserve">in </w:t>
      </w:r>
      <w:r w:rsidR="003A1F79">
        <w:t xml:space="preserve">Bakers Arms </w:t>
      </w:r>
      <w:r w:rsidR="00A225DF">
        <w:t>(Leyton Bus Depot, Leyton Leisure Lagoon and Stanley Road)</w:t>
      </w:r>
      <w:r w:rsidR="009C272F">
        <w:t>,</w:t>
      </w:r>
      <w:r>
        <w:t xml:space="preserve"> Waltham Forest (please see below). The </w:t>
      </w:r>
      <w:r w:rsidR="009D1410">
        <w:t xml:space="preserve">assessment should </w:t>
      </w:r>
      <w:r w:rsidR="00496E5D">
        <w:t>evaluat</w:t>
      </w:r>
      <w:r w:rsidR="00FF2FEA">
        <w:t>e</w:t>
      </w:r>
      <w:r w:rsidR="00496E5D">
        <w:t xml:space="preserve"> the feasibility studies</w:t>
      </w:r>
      <w:r w:rsidR="00C519F2">
        <w:t xml:space="preserve"> carried out on</w:t>
      </w:r>
      <w:r w:rsidR="00D813B4">
        <w:t xml:space="preserve"> th</w:t>
      </w:r>
      <w:r w:rsidR="00CB08C3">
        <w:t xml:space="preserve">e </w:t>
      </w:r>
      <w:r w:rsidR="23BF3487">
        <w:t xml:space="preserve">Bakers Arms </w:t>
      </w:r>
      <w:r w:rsidR="006905BB">
        <w:t xml:space="preserve">and </w:t>
      </w:r>
      <w:r w:rsidR="003A1F79">
        <w:t xml:space="preserve">advise on </w:t>
      </w:r>
      <w:r w:rsidR="004A49B8">
        <w:t>commerciality</w:t>
      </w:r>
      <w:r w:rsidR="003A1F79">
        <w:t>/ deliverability</w:t>
      </w:r>
      <w:r w:rsidR="004A49B8">
        <w:t xml:space="preserve"> of masterplan design options and development </w:t>
      </w:r>
      <w:proofErr w:type="spellStart"/>
      <w:r w:rsidR="004A49B8">
        <w:t>quantums</w:t>
      </w:r>
      <w:proofErr w:type="spellEnd"/>
      <w:r w:rsidR="002F133E">
        <w:t xml:space="preserve"> (residential and non-residential uses) that </w:t>
      </w:r>
      <w:r>
        <w:t>could be delivered on the site</w:t>
      </w:r>
      <w:r w:rsidR="002F133E">
        <w:t xml:space="preserve">s </w:t>
      </w:r>
      <w:r>
        <w:t>in order to inform our emerging Local Plan and Site Allocations Development Plan Document (DPD)</w:t>
      </w:r>
      <w:r w:rsidR="00B778EA">
        <w:t xml:space="preserve"> and potential future supplementary planning guidance</w:t>
      </w:r>
      <w:r>
        <w:t>.</w:t>
      </w:r>
    </w:p>
    <w:p w14:paraId="5BDD7923" w14:textId="093C55DB" w:rsidR="00397E0B" w:rsidRPr="005C0B85" w:rsidRDefault="00CF1E2A" w:rsidP="00A225DF">
      <w:pPr>
        <w:pStyle w:val="BodyText"/>
        <w:ind w:left="7371"/>
        <w:rPr>
          <w:b/>
          <w:bCs/>
        </w:rPr>
      </w:pPr>
      <w:r w:rsidRPr="005C0B85">
        <w:rPr>
          <w:b/>
          <w:bCs/>
        </w:rPr>
        <w:t>Site</w:t>
      </w:r>
      <w:r w:rsidR="005C0B85" w:rsidRPr="005C0B85">
        <w:rPr>
          <w:b/>
          <w:bCs/>
        </w:rPr>
        <w:t>s:</w:t>
      </w:r>
    </w:p>
    <w:p w14:paraId="0EA84248" w14:textId="79232434" w:rsidR="00397E0B" w:rsidRDefault="005C0B85" w:rsidP="00E13C5A">
      <w:pPr>
        <w:pStyle w:val="BodyText"/>
        <w:ind w:left="100"/>
        <w:jc w:val="center"/>
      </w:pPr>
      <w:r>
        <w:rPr>
          <w:noProof/>
        </w:rPr>
        <w:drawing>
          <wp:inline distT="0" distB="0" distL="0" distR="0" wp14:anchorId="4D12469A" wp14:editId="7875904E">
            <wp:extent cx="5781674" cy="32921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81674" cy="3292132"/>
                    </a:xfrm>
                    <a:prstGeom prst="rect">
                      <a:avLst/>
                    </a:prstGeom>
                  </pic:spPr>
                </pic:pic>
              </a:graphicData>
            </a:graphic>
          </wp:inline>
        </w:drawing>
      </w:r>
    </w:p>
    <w:p w14:paraId="79BD47CB" w14:textId="77777777" w:rsidR="00284351" w:rsidRDefault="00284351">
      <w:pPr>
        <w:pStyle w:val="BodyText"/>
        <w:spacing w:before="11"/>
        <w:rPr>
          <w:sz w:val="23"/>
        </w:rPr>
      </w:pPr>
    </w:p>
    <w:p w14:paraId="79BD47CC" w14:textId="38B66A43" w:rsidR="00284351" w:rsidRPr="001E6DF1" w:rsidRDefault="00CF1E2A" w:rsidP="001E6DF1">
      <w:pPr>
        <w:pStyle w:val="BodyText"/>
        <w:numPr>
          <w:ilvl w:val="0"/>
          <w:numId w:val="3"/>
        </w:numPr>
        <w:spacing w:after="240"/>
        <w:jc w:val="both"/>
        <w:rPr>
          <w:b/>
          <w:bCs/>
        </w:rPr>
      </w:pPr>
      <w:r w:rsidRPr="001E6DF1">
        <w:rPr>
          <w:b/>
          <w:bCs/>
        </w:rPr>
        <w:t>Background</w:t>
      </w:r>
      <w:r w:rsidR="00416709">
        <w:rPr>
          <w:b/>
          <w:bCs/>
        </w:rPr>
        <w:t xml:space="preserve"> &amp; Objectives</w:t>
      </w:r>
    </w:p>
    <w:p w14:paraId="2A878E0E" w14:textId="4FF80D93" w:rsidR="00E830EC" w:rsidRPr="00273630" w:rsidRDefault="00CF1E2A" w:rsidP="1D76BC8A">
      <w:pPr>
        <w:pStyle w:val="BodyText"/>
        <w:numPr>
          <w:ilvl w:val="1"/>
          <w:numId w:val="3"/>
        </w:numPr>
        <w:spacing w:before="11" w:after="240"/>
        <w:jc w:val="both"/>
        <w:rPr>
          <w:sz w:val="23"/>
          <w:szCs w:val="23"/>
        </w:rPr>
      </w:pPr>
      <w:r>
        <w:t>Waltham Forest is in the process of preparing a new Local Plan for the borough</w:t>
      </w:r>
      <w:r w:rsidR="003A1F79">
        <w:t xml:space="preserve">, including a </w:t>
      </w:r>
      <w:r>
        <w:t>Site Allocations DPD that will identify sites for development and complement the policies in the Local Plan.</w:t>
      </w:r>
      <w:r w:rsidR="005E00F2">
        <w:t xml:space="preserve"> </w:t>
      </w:r>
      <w:r>
        <w:t xml:space="preserve">In the emerging Local Plan, Bakers Arms, where </w:t>
      </w:r>
      <w:r w:rsidR="00B71885" w:rsidRPr="00A225DF">
        <w:t xml:space="preserve">Leyton Bus Depot, Leyton Leisure </w:t>
      </w:r>
      <w:r w:rsidR="00B71885">
        <w:t>Lagoon</w:t>
      </w:r>
      <w:r w:rsidR="00B71885" w:rsidRPr="00A225DF">
        <w:t xml:space="preserve"> and Stanley Road</w:t>
      </w:r>
      <w:r w:rsidR="00B71885">
        <w:t xml:space="preserve"> sites are</w:t>
      </w:r>
      <w:r w:rsidR="00DC61CF">
        <w:t xml:space="preserve"> located</w:t>
      </w:r>
      <w:r>
        <w:t>, is identified</w:t>
      </w:r>
      <w:r w:rsidRPr="003A1F79">
        <w:rPr>
          <w:spacing w:val="-12"/>
        </w:rPr>
        <w:t xml:space="preserve"> </w:t>
      </w:r>
      <w:r>
        <w:t>as</w:t>
      </w:r>
      <w:r w:rsidRPr="003A1F79">
        <w:rPr>
          <w:spacing w:val="-8"/>
        </w:rPr>
        <w:t xml:space="preserve"> </w:t>
      </w:r>
      <w:r>
        <w:t>a</w:t>
      </w:r>
      <w:r w:rsidRPr="003A1F79">
        <w:rPr>
          <w:spacing w:val="-12"/>
        </w:rPr>
        <w:t xml:space="preserve"> </w:t>
      </w:r>
      <w:r>
        <w:t>‘Strategic</w:t>
      </w:r>
      <w:r w:rsidRPr="003A1F79">
        <w:rPr>
          <w:spacing w:val="-8"/>
        </w:rPr>
        <w:t xml:space="preserve"> </w:t>
      </w:r>
      <w:r>
        <w:t>Location’</w:t>
      </w:r>
      <w:r w:rsidRPr="003A1F79">
        <w:rPr>
          <w:spacing w:val="-9"/>
        </w:rPr>
        <w:t xml:space="preserve"> </w:t>
      </w:r>
      <w:r>
        <w:t>-</w:t>
      </w:r>
      <w:r w:rsidRPr="003A1F79">
        <w:rPr>
          <w:spacing w:val="-12"/>
        </w:rPr>
        <w:t xml:space="preserve"> </w:t>
      </w:r>
      <w:r>
        <w:t>one</w:t>
      </w:r>
      <w:r w:rsidRPr="003A1F79">
        <w:rPr>
          <w:spacing w:val="-10"/>
        </w:rPr>
        <w:t xml:space="preserve"> </w:t>
      </w:r>
      <w:r>
        <w:t>of</w:t>
      </w:r>
      <w:r w:rsidRPr="003A1F79">
        <w:rPr>
          <w:spacing w:val="-12"/>
        </w:rPr>
        <w:t xml:space="preserve"> </w:t>
      </w:r>
      <w:r>
        <w:t>the</w:t>
      </w:r>
      <w:r w:rsidRPr="003A1F79">
        <w:rPr>
          <w:spacing w:val="-13"/>
        </w:rPr>
        <w:t xml:space="preserve"> </w:t>
      </w:r>
      <w:r>
        <w:t>primary</w:t>
      </w:r>
      <w:r w:rsidRPr="003A1F79">
        <w:rPr>
          <w:spacing w:val="-10"/>
        </w:rPr>
        <w:t xml:space="preserve"> </w:t>
      </w:r>
      <w:r>
        <w:t>growth</w:t>
      </w:r>
      <w:r w:rsidRPr="003A1F79">
        <w:rPr>
          <w:spacing w:val="-12"/>
        </w:rPr>
        <w:t xml:space="preserve"> </w:t>
      </w:r>
      <w:r>
        <w:t>locations</w:t>
      </w:r>
      <w:r w:rsidRPr="003A1F79">
        <w:rPr>
          <w:spacing w:val="-12"/>
        </w:rPr>
        <w:t xml:space="preserve"> </w:t>
      </w:r>
      <w:r>
        <w:t>in</w:t>
      </w:r>
      <w:r w:rsidRPr="003A1F79">
        <w:rPr>
          <w:spacing w:val="-10"/>
        </w:rPr>
        <w:t xml:space="preserve"> </w:t>
      </w:r>
      <w:r>
        <w:t>the</w:t>
      </w:r>
      <w:r w:rsidRPr="003A1F79">
        <w:rPr>
          <w:spacing w:val="-10"/>
        </w:rPr>
        <w:t xml:space="preserve"> </w:t>
      </w:r>
      <w:r>
        <w:t>borough</w:t>
      </w:r>
      <w:r w:rsidRPr="003A1F79">
        <w:rPr>
          <w:spacing w:val="-10"/>
        </w:rPr>
        <w:t xml:space="preserve"> </w:t>
      </w:r>
      <w:r>
        <w:t>for</w:t>
      </w:r>
      <w:r w:rsidRPr="003A1F79">
        <w:rPr>
          <w:spacing w:val="-12"/>
        </w:rPr>
        <w:t xml:space="preserve"> </w:t>
      </w:r>
      <w:r>
        <w:t xml:space="preserve">new homes, jobs and supporting infrastructure. </w:t>
      </w:r>
      <w:r w:rsidR="00DC61CF">
        <w:t>The three sites were</w:t>
      </w:r>
      <w:r>
        <w:t xml:space="preserve"> identified as a potential site allocation through the Growth Capacity Study (2018). The feasibility stud</w:t>
      </w:r>
      <w:r w:rsidR="00DC61CF">
        <w:t>ies</w:t>
      </w:r>
      <w:r w:rsidR="007A2285">
        <w:t xml:space="preserve"> tested </w:t>
      </w:r>
      <w:r>
        <w:t>the assumptions made in the Waltham Forest Growth Capacity Study and demonstrate</w:t>
      </w:r>
      <w:r w:rsidR="00305D30">
        <w:t xml:space="preserve">d </w:t>
      </w:r>
      <w:r>
        <w:t xml:space="preserve">the </w:t>
      </w:r>
      <w:r w:rsidR="00E343BD">
        <w:t xml:space="preserve">key </w:t>
      </w:r>
      <w:r w:rsidR="00450AC8">
        <w:t>constrain</w:t>
      </w:r>
      <w:r w:rsidR="78E68C33">
        <w:t>t</w:t>
      </w:r>
      <w:r w:rsidR="00450AC8">
        <w:t xml:space="preserve">s, </w:t>
      </w:r>
      <w:r w:rsidR="00B215A8">
        <w:t>contextual analysis and understanding</w:t>
      </w:r>
      <w:r w:rsidR="00B215A8" w:rsidRPr="003A1F79">
        <w:rPr>
          <w:spacing w:val="-12"/>
        </w:rPr>
        <w:t xml:space="preserve"> </w:t>
      </w:r>
      <w:r w:rsidR="00B215A8">
        <w:t>of</w:t>
      </w:r>
      <w:r w:rsidR="00B215A8" w:rsidRPr="003A1F79">
        <w:rPr>
          <w:spacing w:val="-12"/>
        </w:rPr>
        <w:t xml:space="preserve"> </w:t>
      </w:r>
      <w:r w:rsidR="00B215A8">
        <w:t>the</w:t>
      </w:r>
      <w:r w:rsidR="00B215A8" w:rsidRPr="003A1F79">
        <w:rPr>
          <w:spacing w:val="-13"/>
        </w:rPr>
        <w:t xml:space="preserve"> </w:t>
      </w:r>
      <w:r w:rsidR="00B215A8">
        <w:t>surrounding</w:t>
      </w:r>
      <w:r w:rsidR="00B215A8" w:rsidRPr="003A1F79">
        <w:rPr>
          <w:spacing w:val="-12"/>
        </w:rPr>
        <w:t xml:space="preserve"> </w:t>
      </w:r>
      <w:r w:rsidR="00B215A8">
        <w:t xml:space="preserve">area, </w:t>
      </w:r>
      <w:r w:rsidR="004530C6">
        <w:t>building typologies</w:t>
      </w:r>
      <w:r w:rsidR="004F0F8C">
        <w:t xml:space="preserve">, </w:t>
      </w:r>
      <w:r w:rsidR="00E343BD">
        <w:t>initial sketches for high quality designs</w:t>
      </w:r>
      <w:r w:rsidR="00E830EC">
        <w:t>, capacity studies</w:t>
      </w:r>
      <w:r w:rsidR="00012E00">
        <w:t xml:space="preserve"> and efficient </w:t>
      </w:r>
      <w:r>
        <w:t>deliverability of</w:t>
      </w:r>
      <w:r w:rsidR="00012E00">
        <w:t xml:space="preserve"> the sites</w:t>
      </w:r>
      <w:r>
        <w:t>.</w:t>
      </w:r>
      <w:r w:rsidRPr="003A1F79">
        <w:rPr>
          <w:spacing w:val="-12"/>
        </w:rPr>
        <w:t xml:space="preserve"> </w:t>
      </w:r>
    </w:p>
    <w:p w14:paraId="46AC45AD" w14:textId="0A4F97F2" w:rsidR="00E830EC" w:rsidRPr="000208FA" w:rsidRDefault="00E830EC" w:rsidP="00E830EC">
      <w:pPr>
        <w:pStyle w:val="BodyText"/>
        <w:numPr>
          <w:ilvl w:val="1"/>
          <w:numId w:val="3"/>
        </w:numPr>
        <w:spacing w:before="11" w:after="240"/>
        <w:jc w:val="both"/>
        <w:rPr>
          <w:sz w:val="23"/>
        </w:rPr>
      </w:pPr>
      <w:r w:rsidRPr="000208FA">
        <w:rPr>
          <w:sz w:val="23"/>
        </w:rPr>
        <w:t xml:space="preserve">The key objective of this commission is </w:t>
      </w:r>
      <w:r w:rsidR="002C4C50" w:rsidRPr="000208FA">
        <w:rPr>
          <w:sz w:val="23"/>
        </w:rPr>
        <w:t xml:space="preserve">to </w:t>
      </w:r>
      <w:r w:rsidR="002C4C50" w:rsidRPr="000208FA">
        <w:t xml:space="preserve">evaluate </w:t>
      </w:r>
      <w:r w:rsidR="0019083A" w:rsidRPr="000208FA">
        <w:t xml:space="preserve">and review </w:t>
      </w:r>
      <w:r w:rsidR="002C4C50" w:rsidRPr="000208FA">
        <w:t>the</w:t>
      </w:r>
      <w:r w:rsidR="00273630" w:rsidRPr="000208FA">
        <w:t>se</w:t>
      </w:r>
      <w:r w:rsidR="002C4C50" w:rsidRPr="000208FA">
        <w:t xml:space="preserve"> feasibility studies </w:t>
      </w:r>
      <w:r w:rsidR="00533C3F" w:rsidRPr="000208FA">
        <w:t xml:space="preserve">advise on their </w:t>
      </w:r>
      <w:r w:rsidR="00B8145E" w:rsidRPr="000208FA">
        <w:t>deliverab</w:t>
      </w:r>
      <w:r w:rsidR="00533C3F" w:rsidRPr="000208FA">
        <w:t xml:space="preserve">ility in the context of </w:t>
      </w:r>
      <w:r w:rsidR="009320DF" w:rsidRPr="000208FA">
        <w:t xml:space="preserve">London </w:t>
      </w:r>
      <w:r w:rsidR="00B34512" w:rsidRPr="000208FA">
        <w:t xml:space="preserve">Plan </w:t>
      </w:r>
      <w:r w:rsidR="009320DF" w:rsidRPr="000208FA">
        <w:t xml:space="preserve">and </w:t>
      </w:r>
      <w:r w:rsidR="00B34512" w:rsidRPr="000208FA">
        <w:t xml:space="preserve">Local Plan </w:t>
      </w:r>
      <w:r w:rsidR="00112CDA" w:rsidRPr="000208FA">
        <w:t>policies</w:t>
      </w:r>
      <w:r w:rsidR="001D2DDF" w:rsidRPr="000208FA">
        <w:t xml:space="preserve"> </w:t>
      </w:r>
      <w:r w:rsidR="009320DF" w:rsidRPr="000208FA">
        <w:t xml:space="preserve">standards. </w:t>
      </w:r>
    </w:p>
    <w:p w14:paraId="4A45FDA7" w14:textId="77777777" w:rsidR="00BF203F" w:rsidRPr="000208FA" w:rsidRDefault="00BF203F" w:rsidP="006F4617">
      <w:pPr>
        <w:pStyle w:val="BodyText"/>
        <w:numPr>
          <w:ilvl w:val="0"/>
          <w:numId w:val="3"/>
        </w:numPr>
        <w:spacing w:before="198" w:after="240"/>
        <w:jc w:val="both"/>
        <w:rPr>
          <w:b/>
          <w:bCs/>
        </w:rPr>
      </w:pPr>
      <w:r w:rsidRPr="000208FA">
        <w:rPr>
          <w:b/>
          <w:bCs/>
        </w:rPr>
        <w:t>Key Considerations</w:t>
      </w:r>
    </w:p>
    <w:p w14:paraId="3B940DF9" w14:textId="2F915FEA" w:rsidR="009A7C74" w:rsidRPr="00C24FFF" w:rsidRDefault="00B775DC" w:rsidP="00855101">
      <w:pPr>
        <w:pStyle w:val="BodyText"/>
        <w:numPr>
          <w:ilvl w:val="1"/>
          <w:numId w:val="3"/>
        </w:numPr>
        <w:spacing w:before="11"/>
        <w:jc w:val="both"/>
        <w:rPr>
          <w:sz w:val="23"/>
        </w:rPr>
      </w:pPr>
      <w:r>
        <w:t>Site A</w:t>
      </w:r>
      <w:r w:rsidR="00AF104F">
        <w:t>,</w:t>
      </w:r>
      <w:r w:rsidRPr="00B775DC">
        <w:t xml:space="preserve"> </w:t>
      </w:r>
      <w:r w:rsidRPr="00A225DF">
        <w:t>Stanley Road</w:t>
      </w:r>
      <w:r>
        <w:t xml:space="preserve">, </w:t>
      </w:r>
      <w:r w:rsidR="004A1140">
        <w:t xml:space="preserve">accommodates </w:t>
      </w:r>
      <w:r w:rsidR="0057216C">
        <w:t xml:space="preserve">a car park </w:t>
      </w:r>
      <w:r w:rsidR="00940392">
        <w:t xml:space="preserve">which </w:t>
      </w:r>
      <w:r w:rsidR="00076F3A">
        <w:t xml:space="preserve">is </w:t>
      </w:r>
      <w:r w:rsidR="007B4ECF">
        <w:t xml:space="preserve">used by local communities and facilities, </w:t>
      </w:r>
      <w:r w:rsidR="00FB1117">
        <w:t xml:space="preserve">such as </w:t>
      </w:r>
      <w:r w:rsidR="00FB1117" w:rsidRPr="00C24FFF">
        <w:rPr>
          <w:sz w:val="23"/>
        </w:rPr>
        <w:t xml:space="preserve">Kingsway International Christian Centre, which relies on the car park during its Sunday services. </w:t>
      </w:r>
      <w:r w:rsidR="002E1B13">
        <w:rPr>
          <w:sz w:val="23"/>
        </w:rPr>
        <w:t xml:space="preserve">In the past, they have expressed </w:t>
      </w:r>
      <w:r w:rsidR="00FB1117" w:rsidRPr="00C24FFF">
        <w:rPr>
          <w:sz w:val="23"/>
        </w:rPr>
        <w:t xml:space="preserve">concern </w:t>
      </w:r>
      <w:r w:rsidR="002E1B13">
        <w:rPr>
          <w:sz w:val="23"/>
        </w:rPr>
        <w:t xml:space="preserve">about the </w:t>
      </w:r>
      <w:r w:rsidR="00BA0A36" w:rsidRPr="00C24FFF">
        <w:rPr>
          <w:sz w:val="23"/>
        </w:rPr>
        <w:t xml:space="preserve">loss of car parking, </w:t>
      </w:r>
      <w:r w:rsidR="002E1B13">
        <w:rPr>
          <w:sz w:val="23"/>
        </w:rPr>
        <w:t>so</w:t>
      </w:r>
      <w:r w:rsidR="002E1B13" w:rsidRPr="00C24FFF">
        <w:rPr>
          <w:sz w:val="23"/>
        </w:rPr>
        <w:t xml:space="preserve"> </w:t>
      </w:r>
      <w:r w:rsidR="00FB1117" w:rsidRPr="00C24FFF">
        <w:rPr>
          <w:sz w:val="23"/>
        </w:rPr>
        <w:t>th</w:t>
      </w:r>
      <w:r w:rsidR="00855101" w:rsidRPr="00C24FFF">
        <w:rPr>
          <w:sz w:val="23"/>
        </w:rPr>
        <w:t xml:space="preserve">e </w:t>
      </w:r>
      <w:r w:rsidR="00DF4678">
        <w:rPr>
          <w:sz w:val="23"/>
        </w:rPr>
        <w:t xml:space="preserve">feasibility study </w:t>
      </w:r>
      <w:r w:rsidR="00855101" w:rsidRPr="00C24FFF">
        <w:rPr>
          <w:sz w:val="23"/>
        </w:rPr>
        <w:t xml:space="preserve">explored </w:t>
      </w:r>
      <w:r w:rsidR="00BA0A36" w:rsidRPr="00C24FFF">
        <w:rPr>
          <w:sz w:val="23"/>
        </w:rPr>
        <w:t>a phased approach to releasing car parking on this site. The first phase should retain half of the car parking on site, and the second should be car free (i.e. wheelchair parking only.)</w:t>
      </w:r>
      <w:r w:rsidR="00855101" w:rsidRPr="00C24FFF">
        <w:rPr>
          <w:sz w:val="23"/>
        </w:rPr>
        <w:t xml:space="preserve"> </w:t>
      </w:r>
      <w:r w:rsidR="00BA0A36" w:rsidRPr="00C24FFF">
        <w:rPr>
          <w:sz w:val="23"/>
        </w:rPr>
        <w:t>The site is adjacent to Grade II listed Master Baker’s Almshouses, the Bakers Arms Conservation Area and an Archaeological Priority Zone.</w:t>
      </w:r>
      <w:r w:rsidR="00C24FFF">
        <w:rPr>
          <w:sz w:val="23"/>
        </w:rPr>
        <w:t xml:space="preserve"> </w:t>
      </w:r>
    </w:p>
    <w:p w14:paraId="3F0A1A67" w14:textId="77777777" w:rsidR="009A7C74" w:rsidRDefault="009A7C74" w:rsidP="009A7C74">
      <w:pPr>
        <w:pStyle w:val="BodyText"/>
        <w:spacing w:before="11"/>
        <w:ind w:left="792"/>
        <w:jc w:val="both"/>
        <w:rPr>
          <w:sz w:val="23"/>
        </w:rPr>
      </w:pPr>
    </w:p>
    <w:p w14:paraId="47F6EA66" w14:textId="3AFC40DF" w:rsidR="00964425" w:rsidRPr="00D66875" w:rsidRDefault="004A1140" w:rsidP="0077606F">
      <w:pPr>
        <w:pStyle w:val="BodyText"/>
        <w:numPr>
          <w:ilvl w:val="1"/>
          <w:numId w:val="3"/>
        </w:numPr>
        <w:spacing w:before="11"/>
        <w:jc w:val="both"/>
        <w:rPr>
          <w:sz w:val="23"/>
        </w:rPr>
      </w:pPr>
      <w:r>
        <w:t>Site B</w:t>
      </w:r>
      <w:r w:rsidR="00AF104F">
        <w:t xml:space="preserve">, </w:t>
      </w:r>
      <w:r w:rsidRPr="00A225DF">
        <w:t>Leyton Bus Depot</w:t>
      </w:r>
      <w:r>
        <w:t>,</w:t>
      </w:r>
      <w:r w:rsidR="00CF1E2A">
        <w:t xml:space="preserve"> accommodates the Stagecoach bus depot, including a bus garage and warehouses providing office accommodation, staff facilities and areas of external </w:t>
      </w:r>
      <w:proofErr w:type="spellStart"/>
      <w:r w:rsidR="00CF1E2A">
        <w:t>hardstanding</w:t>
      </w:r>
      <w:proofErr w:type="spellEnd"/>
      <w:r w:rsidR="00CF1E2A">
        <w:t xml:space="preserve"> for bus parking. </w:t>
      </w:r>
      <w:r w:rsidR="00FA7672">
        <w:t>The feasibility study has identified</w:t>
      </w:r>
      <w:r w:rsidR="00C96BF7">
        <w:t xml:space="preserve"> </w:t>
      </w:r>
      <w:r w:rsidR="006A2EAC">
        <w:t xml:space="preserve">the best scenario </w:t>
      </w:r>
      <w:r w:rsidR="00EC3194">
        <w:t xml:space="preserve">for the site </w:t>
      </w:r>
      <w:r w:rsidR="003C63AD">
        <w:t xml:space="preserve">with </w:t>
      </w:r>
      <w:r w:rsidR="0077606F">
        <w:t>l</w:t>
      </w:r>
      <w:r w:rsidR="00AA22E2" w:rsidRPr="0077606F">
        <w:rPr>
          <w:sz w:val="23"/>
        </w:rPr>
        <w:t xml:space="preserve">ower shoulder heights </w:t>
      </w:r>
      <w:r w:rsidR="004137AD">
        <w:rPr>
          <w:sz w:val="23"/>
        </w:rPr>
        <w:t xml:space="preserve">located </w:t>
      </w:r>
      <w:r w:rsidR="00AA22E2" w:rsidRPr="0077606F">
        <w:rPr>
          <w:sz w:val="23"/>
        </w:rPr>
        <w:t>along the east, north and west of site, with taller tower on North West corner. Massing steps down in south west corner in response to existing two-</w:t>
      </w:r>
      <w:proofErr w:type="spellStart"/>
      <w:r w:rsidR="00AA22E2" w:rsidRPr="0077606F">
        <w:rPr>
          <w:sz w:val="23"/>
        </w:rPr>
        <w:t>storey</w:t>
      </w:r>
      <w:proofErr w:type="spellEnd"/>
      <w:r w:rsidR="00AA22E2" w:rsidRPr="0077606F">
        <w:rPr>
          <w:sz w:val="23"/>
        </w:rPr>
        <w:t xml:space="preserve"> house on the corner.</w:t>
      </w:r>
      <w:r w:rsidR="004137AD" w:rsidRPr="004137AD">
        <w:t xml:space="preserve"> </w:t>
      </w:r>
    </w:p>
    <w:p w14:paraId="28945772" w14:textId="77777777" w:rsidR="00D66875" w:rsidRPr="00964425" w:rsidRDefault="00D66875" w:rsidP="00D66875">
      <w:pPr>
        <w:pStyle w:val="BodyText"/>
        <w:spacing w:before="11"/>
        <w:ind w:left="792"/>
        <w:jc w:val="both"/>
        <w:rPr>
          <w:sz w:val="23"/>
        </w:rPr>
      </w:pPr>
    </w:p>
    <w:p w14:paraId="15115656" w14:textId="253A04DF" w:rsidR="00FA7672" w:rsidRPr="0077606F" w:rsidRDefault="00A71528" w:rsidP="0077606F">
      <w:pPr>
        <w:pStyle w:val="BodyText"/>
        <w:numPr>
          <w:ilvl w:val="1"/>
          <w:numId w:val="3"/>
        </w:numPr>
        <w:spacing w:before="11"/>
        <w:jc w:val="both"/>
        <w:rPr>
          <w:sz w:val="23"/>
        </w:rPr>
      </w:pPr>
      <w:r>
        <w:t xml:space="preserve">The two capacity studies </w:t>
      </w:r>
      <w:r w:rsidR="003F25D0">
        <w:t xml:space="preserve">examined the potential of the site, depending on whether the bus depot was relocated or retained.  </w:t>
      </w:r>
    </w:p>
    <w:p w14:paraId="4ECD0716" w14:textId="77777777" w:rsidR="00FA7672" w:rsidRDefault="00FA7672" w:rsidP="00FA7672">
      <w:pPr>
        <w:pStyle w:val="ListParagraph"/>
        <w:rPr>
          <w:sz w:val="23"/>
        </w:rPr>
      </w:pPr>
    </w:p>
    <w:p w14:paraId="776B9B65" w14:textId="79B11082" w:rsidR="00484ECE" w:rsidRPr="00596C62" w:rsidRDefault="00551264" w:rsidP="00964425">
      <w:pPr>
        <w:pStyle w:val="BodyText"/>
        <w:numPr>
          <w:ilvl w:val="1"/>
          <w:numId w:val="3"/>
        </w:numPr>
        <w:spacing w:before="11" w:after="240"/>
        <w:jc w:val="both"/>
        <w:rPr>
          <w:sz w:val="23"/>
        </w:rPr>
      </w:pPr>
      <w:r w:rsidRPr="0063559F">
        <w:rPr>
          <w:sz w:val="23"/>
        </w:rPr>
        <w:t xml:space="preserve">The feasibility study has also considered the connection </w:t>
      </w:r>
      <w:r w:rsidR="00596C62">
        <w:rPr>
          <w:sz w:val="23"/>
        </w:rPr>
        <w:t xml:space="preserve">of </w:t>
      </w:r>
      <w:r w:rsidR="0063559F">
        <w:rPr>
          <w:sz w:val="23"/>
        </w:rPr>
        <w:t xml:space="preserve">this site </w:t>
      </w:r>
      <w:r w:rsidR="00201032">
        <w:rPr>
          <w:sz w:val="23"/>
        </w:rPr>
        <w:t>with the Leyton Leisure Lagoon</w:t>
      </w:r>
      <w:r w:rsidR="00596C62">
        <w:rPr>
          <w:sz w:val="23"/>
        </w:rPr>
        <w:t xml:space="preserve"> in order to provide a more integrated approach and better placemaking offers. </w:t>
      </w:r>
    </w:p>
    <w:p w14:paraId="56294A23" w14:textId="422BE135" w:rsidR="00183FB8" w:rsidRDefault="00484ECE" w:rsidP="009D3FA3">
      <w:pPr>
        <w:pStyle w:val="BodyText"/>
        <w:numPr>
          <w:ilvl w:val="1"/>
          <w:numId w:val="3"/>
        </w:numPr>
        <w:spacing w:before="11" w:after="240"/>
        <w:jc w:val="both"/>
        <w:rPr>
          <w:sz w:val="23"/>
        </w:rPr>
      </w:pPr>
      <w:r>
        <w:rPr>
          <w:sz w:val="23"/>
        </w:rPr>
        <w:t>Site C</w:t>
      </w:r>
      <w:r w:rsidR="00A943A5">
        <w:rPr>
          <w:sz w:val="23"/>
        </w:rPr>
        <w:t>,</w:t>
      </w:r>
      <w:r>
        <w:rPr>
          <w:sz w:val="23"/>
        </w:rPr>
        <w:t xml:space="preserve"> </w:t>
      </w:r>
      <w:r w:rsidRPr="00A225DF">
        <w:t xml:space="preserve">Leyton Leisure </w:t>
      </w:r>
      <w:r>
        <w:t>Lagoon</w:t>
      </w:r>
      <w:r w:rsidR="00A943A5">
        <w:t xml:space="preserve">, </w:t>
      </w:r>
      <w:r w:rsidR="00A943A5" w:rsidRPr="00A943A5">
        <w:rPr>
          <w:sz w:val="23"/>
        </w:rPr>
        <w:t xml:space="preserve">is currently occupied by Leyton Leisure Centre, which provides approximately 3,400m2 of facilities, including a gym, a 25m swimming pool, an aqua play pool, a health suite (with a sauna), and an associated car park. The approximate existing site area is 0.57ha, and it is positioned in the Bakers Arms District Centre. Surrounding buildings range from 2-11 </w:t>
      </w:r>
      <w:proofErr w:type="spellStart"/>
      <w:r w:rsidR="00A943A5" w:rsidRPr="00A943A5">
        <w:rPr>
          <w:sz w:val="23"/>
        </w:rPr>
        <w:t>storeys</w:t>
      </w:r>
      <w:proofErr w:type="spellEnd"/>
      <w:r w:rsidR="00A943A5" w:rsidRPr="00A943A5">
        <w:rPr>
          <w:sz w:val="23"/>
        </w:rPr>
        <w:t xml:space="preserve"> in height. However, the site is immediately bounded to the west and south by residential properties ranging from 4-7 </w:t>
      </w:r>
      <w:proofErr w:type="spellStart"/>
      <w:r w:rsidR="00A943A5" w:rsidRPr="00A943A5">
        <w:rPr>
          <w:sz w:val="23"/>
        </w:rPr>
        <w:t>storeys</w:t>
      </w:r>
      <w:proofErr w:type="spellEnd"/>
      <w:r w:rsidR="00A943A5" w:rsidRPr="00A943A5">
        <w:rPr>
          <w:sz w:val="23"/>
        </w:rPr>
        <w:t>. The site also has very strong public transportation links – with a PTAL of 6a. The site is located within an Archaeological Priority Zone, but is outside the Conservation Area.</w:t>
      </w:r>
      <w:r w:rsidR="00B4346E">
        <w:rPr>
          <w:sz w:val="23"/>
        </w:rPr>
        <w:t xml:space="preserve"> </w:t>
      </w:r>
    </w:p>
    <w:p w14:paraId="79BD47E2" w14:textId="44A93BF7" w:rsidR="00284351" w:rsidRPr="00AB0CBC" w:rsidRDefault="00964425" w:rsidP="00AB0CBC">
      <w:pPr>
        <w:pStyle w:val="BodyText"/>
        <w:numPr>
          <w:ilvl w:val="1"/>
          <w:numId w:val="3"/>
        </w:numPr>
        <w:spacing w:before="11" w:after="240"/>
        <w:jc w:val="both"/>
        <w:rPr>
          <w:sz w:val="23"/>
        </w:rPr>
      </w:pPr>
      <w:r>
        <w:rPr>
          <w:rFonts w:cs="HelveticaNeueLT Std UltLt"/>
          <w:color w:val="211D1E"/>
          <w:sz w:val="23"/>
          <w:szCs w:val="23"/>
        </w:rPr>
        <w:t>The feasibility study identified that the Leisure Centre remains on High Street, with residential development above occupying a more prominent position opposite the Green.</w:t>
      </w:r>
      <w:r w:rsidR="00EA0078">
        <w:rPr>
          <w:rFonts w:cs="HelveticaNeueLT Std UltLt"/>
          <w:color w:val="211D1E"/>
          <w:sz w:val="23"/>
          <w:szCs w:val="23"/>
        </w:rPr>
        <w:t xml:space="preserve"> </w:t>
      </w:r>
      <w:r w:rsidR="00707741">
        <w:rPr>
          <w:rFonts w:cs="HelveticaNeueLT Std UltLt"/>
          <w:color w:val="211D1E"/>
          <w:sz w:val="23"/>
          <w:szCs w:val="23"/>
        </w:rPr>
        <w:t>In every scenario, t</w:t>
      </w:r>
      <w:r w:rsidR="00EA0078">
        <w:rPr>
          <w:rFonts w:cs="HelveticaNeueLT Std UltLt"/>
          <w:color w:val="211D1E"/>
          <w:sz w:val="23"/>
          <w:szCs w:val="23"/>
        </w:rPr>
        <w:t>he</w:t>
      </w:r>
      <w:r w:rsidR="000C1177">
        <w:rPr>
          <w:rFonts w:cs="HelveticaNeueLT Std UltLt"/>
          <w:color w:val="211D1E"/>
          <w:sz w:val="23"/>
          <w:szCs w:val="23"/>
        </w:rPr>
        <w:t xml:space="preserve"> </w:t>
      </w:r>
      <w:r w:rsidR="00707741">
        <w:rPr>
          <w:rFonts w:cs="HelveticaNeueLT Std UltLt"/>
          <w:color w:val="211D1E"/>
          <w:sz w:val="23"/>
          <w:szCs w:val="23"/>
        </w:rPr>
        <w:t>r</w:t>
      </w:r>
      <w:r w:rsidR="000C1177" w:rsidRPr="000C1177">
        <w:rPr>
          <w:rFonts w:cs="HelveticaNeueLT Std UltLt"/>
          <w:color w:val="211D1E"/>
          <w:sz w:val="23"/>
          <w:szCs w:val="23"/>
        </w:rPr>
        <w:t>etention of TPO trees</w:t>
      </w:r>
      <w:r w:rsidR="00707741">
        <w:rPr>
          <w:rFonts w:cs="HelveticaNeueLT Std UltLt"/>
          <w:color w:val="211D1E"/>
          <w:sz w:val="23"/>
          <w:szCs w:val="23"/>
        </w:rPr>
        <w:t xml:space="preserve"> have been considered.</w:t>
      </w:r>
    </w:p>
    <w:p w14:paraId="79BD47E3" w14:textId="77777777" w:rsidR="00284351" w:rsidRPr="000208FA" w:rsidRDefault="00CF1E2A" w:rsidP="008C33E1">
      <w:pPr>
        <w:pStyle w:val="BodyText"/>
        <w:numPr>
          <w:ilvl w:val="0"/>
          <w:numId w:val="3"/>
        </w:numPr>
        <w:spacing w:after="240"/>
        <w:jc w:val="both"/>
        <w:rPr>
          <w:b/>
          <w:bCs/>
        </w:rPr>
      </w:pPr>
      <w:r w:rsidRPr="000208FA">
        <w:rPr>
          <w:b/>
          <w:bCs/>
        </w:rPr>
        <w:t>Deliverables</w:t>
      </w:r>
    </w:p>
    <w:p w14:paraId="79BD47E4" w14:textId="04B23F46" w:rsidR="00284351" w:rsidRPr="000208FA" w:rsidRDefault="00513779" w:rsidP="00513779">
      <w:pPr>
        <w:pStyle w:val="BodyText"/>
        <w:numPr>
          <w:ilvl w:val="1"/>
          <w:numId w:val="3"/>
        </w:numPr>
        <w:spacing w:before="11"/>
        <w:jc w:val="both"/>
        <w:rPr>
          <w:sz w:val="23"/>
        </w:rPr>
      </w:pPr>
      <w:r w:rsidRPr="000208FA">
        <w:rPr>
          <w:sz w:val="23"/>
        </w:rPr>
        <w:t>Viability S</w:t>
      </w:r>
      <w:r w:rsidR="00CF1E2A" w:rsidRPr="000208FA">
        <w:rPr>
          <w:sz w:val="23"/>
        </w:rPr>
        <w:t xml:space="preserve">tudy Report </w:t>
      </w:r>
      <w:r w:rsidR="00D04251" w:rsidRPr="000208FA">
        <w:rPr>
          <w:sz w:val="23"/>
        </w:rPr>
        <w:t xml:space="preserve">should </w:t>
      </w:r>
      <w:r w:rsidR="00CF1E2A" w:rsidRPr="000208FA">
        <w:rPr>
          <w:sz w:val="23"/>
        </w:rPr>
        <w:t>includ</w:t>
      </w:r>
      <w:r w:rsidR="00D04251" w:rsidRPr="000208FA">
        <w:rPr>
          <w:sz w:val="23"/>
        </w:rPr>
        <w:t>e</w:t>
      </w:r>
      <w:r w:rsidR="00CF1E2A" w:rsidRPr="000208FA">
        <w:rPr>
          <w:sz w:val="23"/>
        </w:rPr>
        <w:t>;</w:t>
      </w:r>
    </w:p>
    <w:p w14:paraId="25E9B58D" w14:textId="739EE91F" w:rsidR="00F42CBC" w:rsidRPr="000208FA" w:rsidRDefault="00F42CBC" w:rsidP="00513779">
      <w:pPr>
        <w:pStyle w:val="BodyText"/>
        <w:numPr>
          <w:ilvl w:val="2"/>
          <w:numId w:val="4"/>
        </w:numPr>
        <w:spacing w:before="11"/>
        <w:ind w:left="851" w:hanging="373"/>
        <w:jc w:val="both"/>
        <w:rPr>
          <w:sz w:val="23"/>
        </w:rPr>
      </w:pPr>
      <w:r w:rsidRPr="000208FA">
        <w:rPr>
          <w:sz w:val="23"/>
        </w:rPr>
        <w:t xml:space="preserve">Guidance </w:t>
      </w:r>
      <w:r w:rsidR="0044403E" w:rsidRPr="000208FA">
        <w:rPr>
          <w:sz w:val="23"/>
        </w:rPr>
        <w:t xml:space="preserve">and principles </w:t>
      </w:r>
      <w:r w:rsidRPr="000208FA">
        <w:rPr>
          <w:sz w:val="23"/>
        </w:rPr>
        <w:t>on viability testing for development</w:t>
      </w:r>
      <w:r w:rsidR="00663F7B" w:rsidRPr="000208FA">
        <w:rPr>
          <w:sz w:val="23"/>
        </w:rPr>
        <w:t>;</w:t>
      </w:r>
    </w:p>
    <w:p w14:paraId="6A9B972F" w14:textId="7ECE0E0F" w:rsidR="00DA1E0A" w:rsidRPr="000208FA" w:rsidRDefault="00DA1E0A" w:rsidP="00513779">
      <w:pPr>
        <w:pStyle w:val="BodyText"/>
        <w:numPr>
          <w:ilvl w:val="2"/>
          <w:numId w:val="4"/>
        </w:numPr>
        <w:spacing w:before="11"/>
        <w:ind w:left="851" w:hanging="373"/>
        <w:jc w:val="both"/>
        <w:rPr>
          <w:sz w:val="23"/>
        </w:rPr>
      </w:pPr>
      <w:r w:rsidRPr="000208FA">
        <w:rPr>
          <w:sz w:val="23"/>
        </w:rPr>
        <w:t>Residential</w:t>
      </w:r>
      <w:r w:rsidR="000D558E" w:rsidRPr="000208FA">
        <w:rPr>
          <w:sz w:val="23"/>
        </w:rPr>
        <w:t xml:space="preserve"> (Market, </w:t>
      </w:r>
      <w:r w:rsidR="00B018FE">
        <w:rPr>
          <w:sz w:val="23"/>
        </w:rPr>
        <w:t>PRS (if appropriate)</w:t>
      </w:r>
      <w:r w:rsidR="00B018FE" w:rsidRPr="000208FA">
        <w:rPr>
          <w:sz w:val="23"/>
        </w:rPr>
        <w:t xml:space="preserve"> </w:t>
      </w:r>
      <w:r w:rsidR="000D558E" w:rsidRPr="000208FA">
        <w:rPr>
          <w:sz w:val="23"/>
        </w:rPr>
        <w:t>and Affordable Housing)</w:t>
      </w:r>
      <w:r w:rsidR="00CF45D7" w:rsidRPr="000208FA">
        <w:rPr>
          <w:sz w:val="23"/>
        </w:rPr>
        <w:t xml:space="preserve">, Non-residential and </w:t>
      </w:r>
      <w:r w:rsidRPr="000208FA">
        <w:rPr>
          <w:sz w:val="23"/>
        </w:rPr>
        <w:t>mixed uses</w:t>
      </w:r>
      <w:r w:rsidR="00CF45D7" w:rsidRPr="000208FA">
        <w:rPr>
          <w:sz w:val="23"/>
        </w:rPr>
        <w:t xml:space="preserve"> values &amp; costs</w:t>
      </w:r>
      <w:r w:rsidR="00663F7B" w:rsidRPr="000208FA">
        <w:rPr>
          <w:sz w:val="23"/>
        </w:rPr>
        <w:t>;</w:t>
      </w:r>
    </w:p>
    <w:p w14:paraId="7AE129E4" w14:textId="38746BD1" w:rsidR="00D04251" w:rsidRPr="000208FA" w:rsidRDefault="00B018FE" w:rsidP="00513779">
      <w:pPr>
        <w:pStyle w:val="BodyText"/>
        <w:numPr>
          <w:ilvl w:val="2"/>
          <w:numId w:val="4"/>
        </w:numPr>
        <w:spacing w:before="11"/>
        <w:ind w:left="851" w:hanging="373"/>
        <w:jc w:val="both"/>
        <w:rPr>
          <w:sz w:val="23"/>
        </w:rPr>
      </w:pPr>
      <w:r>
        <w:rPr>
          <w:sz w:val="23"/>
        </w:rPr>
        <w:t xml:space="preserve">Comparison of Existing Use Values and </w:t>
      </w:r>
      <w:r w:rsidR="00B06923">
        <w:rPr>
          <w:sz w:val="23"/>
        </w:rPr>
        <w:t xml:space="preserve">Development </w:t>
      </w:r>
      <w:r w:rsidR="00160385">
        <w:rPr>
          <w:sz w:val="23"/>
        </w:rPr>
        <w:t>L</w:t>
      </w:r>
      <w:r w:rsidR="00B06923" w:rsidRPr="000208FA">
        <w:rPr>
          <w:sz w:val="23"/>
        </w:rPr>
        <w:t>and</w:t>
      </w:r>
      <w:r w:rsidR="00D04251" w:rsidRPr="000208FA">
        <w:rPr>
          <w:sz w:val="23"/>
        </w:rPr>
        <w:t xml:space="preserve"> </w:t>
      </w:r>
      <w:r w:rsidR="00160385">
        <w:rPr>
          <w:sz w:val="23"/>
        </w:rPr>
        <w:t>V</w:t>
      </w:r>
      <w:r w:rsidR="00D04251" w:rsidRPr="000208FA">
        <w:rPr>
          <w:sz w:val="23"/>
        </w:rPr>
        <w:t>alues</w:t>
      </w:r>
      <w:r w:rsidR="00663F7B" w:rsidRPr="000208FA">
        <w:rPr>
          <w:sz w:val="23"/>
        </w:rPr>
        <w:t>;</w:t>
      </w:r>
    </w:p>
    <w:p w14:paraId="5644B03A" w14:textId="77777777" w:rsidR="00B018FE" w:rsidRDefault="00B018FE" w:rsidP="00513779">
      <w:pPr>
        <w:pStyle w:val="BodyText"/>
        <w:numPr>
          <w:ilvl w:val="2"/>
          <w:numId w:val="4"/>
        </w:numPr>
        <w:spacing w:before="11"/>
        <w:ind w:left="851" w:hanging="373"/>
        <w:jc w:val="both"/>
        <w:rPr>
          <w:sz w:val="23"/>
        </w:rPr>
      </w:pPr>
      <w:r>
        <w:rPr>
          <w:sz w:val="23"/>
        </w:rPr>
        <w:t>Financial Models in ARGUS Developer or similar format to demonstrate:</w:t>
      </w:r>
    </w:p>
    <w:p w14:paraId="31D02CFA" w14:textId="77777777" w:rsidR="00B018FE" w:rsidRDefault="00B018FE" w:rsidP="00B018FE">
      <w:pPr>
        <w:pStyle w:val="BodyText"/>
        <w:numPr>
          <w:ilvl w:val="3"/>
          <w:numId w:val="4"/>
        </w:numPr>
        <w:spacing w:before="11"/>
        <w:jc w:val="both"/>
        <w:rPr>
          <w:sz w:val="23"/>
        </w:rPr>
      </w:pPr>
      <w:r>
        <w:rPr>
          <w:sz w:val="23"/>
        </w:rPr>
        <w:t>Scenario 1: A policy compliant development in terms of affordable housing tenure and mix</w:t>
      </w:r>
    </w:p>
    <w:p w14:paraId="24F831F8" w14:textId="1603806B" w:rsidR="00B56D34" w:rsidRPr="000208FA" w:rsidRDefault="00B018FE" w:rsidP="00B06923">
      <w:pPr>
        <w:pStyle w:val="BodyText"/>
        <w:numPr>
          <w:ilvl w:val="3"/>
          <w:numId w:val="4"/>
        </w:numPr>
        <w:spacing w:before="11"/>
        <w:jc w:val="both"/>
        <w:rPr>
          <w:sz w:val="23"/>
        </w:rPr>
      </w:pPr>
      <w:r>
        <w:rPr>
          <w:sz w:val="23"/>
        </w:rPr>
        <w:t>Scenario 2: If required, an alternative scenario to demonstrate a viable scheme that is as close to policy compliant as possible in terms of affordable housing tenure and mix</w:t>
      </w:r>
      <w:r w:rsidR="00663F7B" w:rsidRPr="000208FA">
        <w:rPr>
          <w:sz w:val="23"/>
        </w:rPr>
        <w:t>; and</w:t>
      </w:r>
    </w:p>
    <w:p w14:paraId="4BBD1D31" w14:textId="1F624B2F" w:rsidR="00663F7B" w:rsidRDefault="00B018FE" w:rsidP="00513779">
      <w:pPr>
        <w:pStyle w:val="BodyText"/>
        <w:numPr>
          <w:ilvl w:val="2"/>
          <w:numId w:val="4"/>
        </w:numPr>
        <w:spacing w:before="11"/>
        <w:ind w:left="851" w:hanging="373"/>
        <w:jc w:val="both"/>
        <w:rPr>
          <w:sz w:val="23"/>
        </w:rPr>
      </w:pPr>
      <w:r>
        <w:rPr>
          <w:sz w:val="23"/>
        </w:rPr>
        <w:t>Sensitivity Analysis to demonstrate the impact of</w:t>
      </w:r>
      <w:r w:rsidR="008800B6" w:rsidRPr="000208FA">
        <w:rPr>
          <w:sz w:val="23"/>
        </w:rPr>
        <w:t xml:space="preserve"> future </w:t>
      </w:r>
      <w:r w:rsidR="00663F7B" w:rsidRPr="000208FA">
        <w:rPr>
          <w:sz w:val="23"/>
        </w:rPr>
        <w:t xml:space="preserve">changes in </w:t>
      </w:r>
      <w:r>
        <w:rPr>
          <w:sz w:val="23"/>
        </w:rPr>
        <w:t xml:space="preserve">build </w:t>
      </w:r>
      <w:r w:rsidR="00663F7B" w:rsidRPr="000208FA">
        <w:rPr>
          <w:sz w:val="23"/>
        </w:rPr>
        <w:t>cost</w:t>
      </w:r>
      <w:r>
        <w:rPr>
          <w:sz w:val="23"/>
        </w:rPr>
        <w:t>, developer and landowner returns</w:t>
      </w:r>
      <w:r w:rsidR="00663F7B" w:rsidRPr="000208FA">
        <w:rPr>
          <w:sz w:val="23"/>
        </w:rPr>
        <w:t xml:space="preserve"> and </w:t>
      </w:r>
      <w:r>
        <w:rPr>
          <w:sz w:val="23"/>
        </w:rPr>
        <w:t xml:space="preserve">sales/rental </w:t>
      </w:r>
      <w:r w:rsidR="00663F7B" w:rsidRPr="000208FA">
        <w:rPr>
          <w:sz w:val="23"/>
        </w:rPr>
        <w:t>values</w:t>
      </w:r>
      <w:r>
        <w:rPr>
          <w:sz w:val="23"/>
        </w:rPr>
        <w:t>. Precedents should be given for levels of developer and landowner returns that are assumed in your appraisals.</w:t>
      </w:r>
    </w:p>
    <w:p w14:paraId="58805311" w14:textId="10A3BEF4" w:rsidR="004F5DF0" w:rsidRPr="000208FA" w:rsidRDefault="004F5DF0" w:rsidP="54BEC51B">
      <w:pPr>
        <w:pStyle w:val="BodyText"/>
        <w:numPr>
          <w:ilvl w:val="2"/>
          <w:numId w:val="4"/>
        </w:numPr>
        <w:spacing w:before="11"/>
        <w:ind w:left="851" w:hanging="373"/>
        <w:jc w:val="both"/>
        <w:rPr>
          <w:sz w:val="23"/>
          <w:szCs w:val="23"/>
        </w:rPr>
      </w:pPr>
      <w:r w:rsidRPr="54BEC51B">
        <w:rPr>
          <w:sz w:val="23"/>
          <w:szCs w:val="23"/>
        </w:rPr>
        <w:t>Recommendations (if required) to improve the commercial position by modifying/implementing a phasing strategy for the relevant site</w:t>
      </w:r>
      <w:r w:rsidR="133CB85C" w:rsidRPr="54BEC51B">
        <w:rPr>
          <w:sz w:val="23"/>
          <w:szCs w:val="23"/>
        </w:rPr>
        <w:t>.</w:t>
      </w:r>
    </w:p>
    <w:p w14:paraId="496DABEF" w14:textId="77777777" w:rsidR="00BE5097" w:rsidRPr="00933899" w:rsidRDefault="00BE5097">
      <w:pPr>
        <w:rPr>
          <w:sz w:val="24"/>
        </w:rPr>
      </w:pPr>
    </w:p>
    <w:p w14:paraId="10CE86CF" w14:textId="26E3E8C3" w:rsidR="00F22E7C" w:rsidRPr="000208FA" w:rsidRDefault="00F22E7C" w:rsidP="008C33E1">
      <w:pPr>
        <w:pStyle w:val="BodyText"/>
        <w:numPr>
          <w:ilvl w:val="0"/>
          <w:numId w:val="3"/>
        </w:numPr>
        <w:spacing w:before="11" w:after="240"/>
        <w:jc w:val="both"/>
        <w:rPr>
          <w:b/>
          <w:bCs/>
        </w:rPr>
      </w:pPr>
      <w:r w:rsidRPr="000208FA">
        <w:rPr>
          <w:b/>
          <w:bCs/>
          <w:sz w:val="23"/>
        </w:rPr>
        <w:t>Proposed</w:t>
      </w:r>
      <w:r w:rsidRPr="000208FA">
        <w:rPr>
          <w:b/>
          <w:bCs/>
        </w:rPr>
        <w:t xml:space="preserve"> Timescale for Delivery</w:t>
      </w:r>
      <w:r w:rsidR="001F388C" w:rsidRPr="000208FA">
        <w:rPr>
          <w:b/>
          <w:bCs/>
        </w:rPr>
        <w:t xml:space="preserve"> &amp; Budget</w:t>
      </w:r>
    </w:p>
    <w:p w14:paraId="5169BECC" w14:textId="385951F4" w:rsidR="004D5323" w:rsidRPr="000208FA" w:rsidRDefault="004D5323" w:rsidP="00226F41">
      <w:pPr>
        <w:pStyle w:val="ListParagraph"/>
        <w:numPr>
          <w:ilvl w:val="1"/>
          <w:numId w:val="3"/>
        </w:numPr>
        <w:spacing w:after="240"/>
        <w:rPr>
          <w:sz w:val="24"/>
        </w:rPr>
      </w:pPr>
      <w:r w:rsidRPr="000208FA">
        <w:rPr>
          <w:sz w:val="24"/>
        </w:rPr>
        <w:t xml:space="preserve">The Council </w:t>
      </w:r>
      <w:r w:rsidR="00935420" w:rsidRPr="000208FA">
        <w:rPr>
          <w:sz w:val="24"/>
        </w:rPr>
        <w:t>has been allocated a Home Building Capacity Fund from the GLA</w:t>
      </w:r>
      <w:r w:rsidR="00757B78" w:rsidRPr="000208FA">
        <w:rPr>
          <w:sz w:val="24"/>
        </w:rPr>
        <w:t xml:space="preserve">. A </w:t>
      </w:r>
      <w:r w:rsidR="00757B78" w:rsidRPr="005E00F2">
        <w:rPr>
          <w:b/>
          <w:bCs/>
          <w:sz w:val="24"/>
        </w:rPr>
        <w:t>£7,500</w:t>
      </w:r>
      <w:r w:rsidR="00757B78" w:rsidRPr="000208FA">
        <w:rPr>
          <w:sz w:val="24"/>
        </w:rPr>
        <w:t xml:space="preserve"> </w:t>
      </w:r>
      <w:r w:rsidR="001E0D7F" w:rsidRPr="000208FA">
        <w:rPr>
          <w:sz w:val="24"/>
        </w:rPr>
        <w:t xml:space="preserve">has been assigned for this study </w:t>
      </w:r>
      <w:r w:rsidR="00935420" w:rsidRPr="000208FA">
        <w:rPr>
          <w:sz w:val="24"/>
        </w:rPr>
        <w:t xml:space="preserve">and </w:t>
      </w:r>
      <w:r w:rsidR="001E0D7F" w:rsidRPr="000208FA">
        <w:rPr>
          <w:sz w:val="24"/>
        </w:rPr>
        <w:t xml:space="preserve">it will </w:t>
      </w:r>
      <w:r w:rsidR="00935420" w:rsidRPr="000208FA">
        <w:rPr>
          <w:sz w:val="24"/>
        </w:rPr>
        <w:t xml:space="preserve">expect </w:t>
      </w:r>
      <w:r w:rsidR="003C341C" w:rsidRPr="000208FA">
        <w:rPr>
          <w:sz w:val="24"/>
        </w:rPr>
        <w:t xml:space="preserve">to </w:t>
      </w:r>
      <w:r w:rsidR="001E0D7F" w:rsidRPr="000208FA">
        <w:rPr>
          <w:sz w:val="24"/>
        </w:rPr>
        <w:t xml:space="preserve">be </w:t>
      </w:r>
      <w:r w:rsidR="006F7E28" w:rsidRPr="000208FA">
        <w:rPr>
          <w:sz w:val="24"/>
        </w:rPr>
        <w:t>complete</w:t>
      </w:r>
      <w:r w:rsidR="006968C2" w:rsidRPr="000208FA">
        <w:rPr>
          <w:sz w:val="24"/>
        </w:rPr>
        <w:t xml:space="preserve"> </w:t>
      </w:r>
      <w:r w:rsidR="006F7E28" w:rsidRPr="000208FA">
        <w:rPr>
          <w:b/>
          <w:bCs/>
          <w:sz w:val="24"/>
        </w:rPr>
        <w:t>by March 2</w:t>
      </w:r>
      <w:r w:rsidR="00ED672F" w:rsidRPr="000208FA">
        <w:rPr>
          <w:b/>
          <w:bCs/>
          <w:sz w:val="24"/>
        </w:rPr>
        <w:t>0</w:t>
      </w:r>
      <w:r w:rsidR="006F7E28" w:rsidRPr="000208FA">
        <w:rPr>
          <w:b/>
          <w:bCs/>
          <w:sz w:val="24"/>
        </w:rPr>
        <w:t>21.</w:t>
      </w:r>
    </w:p>
    <w:p w14:paraId="57C6471D" w14:textId="77777777" w:rsidR="0053283A" w:rsidRDefault="0053283A" w:rsidP="00F22E7C">
      <w:pPr>
        <w:rPr>
          <w:sz w:val="24"/>
        </w:rPr>
      </w:pPr>
    </w:p>
    <w:p w14:paraId="7EE2EF9E" w14:textId="77777777" w:rsidR="00222E79" w:rsidRPr="002F133E" w:rsidRDefault="00222E79" w:rsidP="0017530E">
      <w:pPr>
        <w:pStyle w:val="BodyText"/>
        <w:numPr>
          <w:ilvl w:val="0"/>
          <w:numId w:val="3"/>
        </w:numPr>
        <w:spacing w:before="11"/>
        <w:jc w:val="both"/>
        <w:rPr>
          <w:b/>
          <w:bCs/>
        </w:rPr>
      </w:pPr>
      <w:r w:rsidRPr="002F133E">
        <w:rPr>
          <w:b/>
          <w:bCs/>
        </w:rPr>
        <w:t xml:space="preserve">Key </w:t>
      </w:r>
      <w:r w:rsidRPr="0017530E">
        <w:rPr>
          <w:b/>
          <w:bCs/>
          <w:sz w:val="23"/>
        </w:rPr>
        <w:t>Information</w:t>
      </w:r>
    </w:p>
    <w:p w14:paraId="31FC65DC" w14:textId="5391BDD0" w:rsidR="0017530E" w:rsidRDefault="00AF5768" w:rsidP="0017530E">
      <w:pPr>
        <w:pStyle w:val="BodyText"/>
        <w:numPr>
          <w:ilvl w:val="1"/>
          <w:numId w:val="3"/>
        </w:numPr>
        <w:tabs>
          <w:tab w:val="left" w:pos="819"/>
          <w:tab w:val="left" w:pos="820"/>
          <w:tab w:val="left" w:pos="1179"/>
        </w:tabs>
        <w:spacing w:before="11"/>
      </w:pPr>
      <w:r>
        <w:t>Any general questions regarding the procurement process or submission of tenders can be</w:t>
      </w:r>
      <w:r w:rsidR="0017530E">
        <w:t xml:space="preserve"> </w:t>
      </w:r>
      <w:r>
        <w:t>directed to</w:t>
      </w:r>
      <w:r w:rsidR="00570CFC">
        <w:t>:</w:t>
      </w:r>
    </w:p>
    <w:p w14:paraId="5ED8E206" w14:textId="134A2FBB" w:rsidR="00A9497E" w:rsidRPr="000208FA" w:rsidRDefault="00A9497E" w:rsidP="0017530E">
      <w:pPr>
        <w:pStyle w:val="BodyText"/>
        <w:tabs>
          <w:tab w:val="left" w:pos="819"/>
          <w:tab w:val="left" w:pos="820"/>
          <w:tab w:val="left" w:pos="1179"/>
        </w:tabs>
        <w:spacing w:before="11"/>
        <w:ind w:left="792"/>
        <w:rPr>
          <w:b/>
          <w:bCs/>
        </w:rPr>
      </w:pPr>
      <w:r w:rsidRPr="000208FA">
        <w:rPr>
          <w:b/>
          <w:bCs/>
        </w:rPr>
        <w:t>Antonio Mesini</w:t>
      </w:r>
    </w:p>
    <w:p w14:paraId="2015CB36" w14:textId="166D2237" w:rsidR="00A9497E" w:rsidRDefault="00A9497E" w:rsidP="0017530E">
      <w:pPr>
        <w:pStyle w:val="BodyText"/>
        <w:tabs>
          <w:tab w:val="left" w:pos="819"/>
          <w:tab w:val="left" w:pos="820"/>
          <w:tab w:val="left" w:pos="1179"/>
        </w:tabs>
        <w:spacing w:before="11"/>
        <w:ind w:left="792"/>
      </w:pPr>
      <w:r>
        <w:t>Planning Policy Officer</w:t>
      </w:r>
    </w:p>
    <w:p w14:paraId="73C6538C" w14:textId="6C11DC8F" w:rsidR="00CB68AA" w:rsidRDefault="00AB0CBC" w:rsidP="0017530E">
      <w:pPr>
        <w:pStyle w:val="BodyText"/>
        <w:tabs>
          <w:tab w:val="left" w:pos="819"/>
          <w:tab w:val="left" w:pos="820"/>
          <w:tab w:val="left" w:pos="1179"/>
        </w:tabs>
        <w:spacing w:before="11"/>
        <w:ind w:left="792"/>
      </w:pPr>
      <w:hyperlink r:id="rId9" w:history="1">
        <w:r w:rsidR="000208FA" w:rsidRPr="00A20BDD">
          <w:rPr>
            <w:rStyle w:val="Hyperlink"/>
          </w:rPr>
          <w:t>Antonio.mesini@walthamforest.gov.uk</w:t>
        </w:r>
      </w:hyperlink>
    </w:p>
    <w:p w14:paraId="2E4B2804" w14:textId="77777777" w:rsidR="00A9497E" w:rsidRDefault="00A9497E" w:rsidP="0017530E">
      <w:pPr>
        <w:pStyle w:val="BodyText"/>
        <w:tabs>
          <w:tab w:val="left" w:pos="819"/>
          <w:tab w:val="left" w:pos="820"/>
          <w:tab w:val="left" w:pos="1179"/>
        </w:tabs>
        <w:spacing w:before="11"/>
        <w:ind w:left="792"/>
      </w:pPr>
    </w:p>
    <w:p w14:paraId="7F872FE5" w14:textId="33106200" w:rsidR="0017530E" w:rsidRDefault="00222E79" w:rsidP="0017530E">
      <w:pPr>
        <w:pStyle w:val="BodyText"/>
        <w:tabs>
          <w:tab w:val="left" w:pos="819"/>
          <w:tab w:val="left" w:pos="820"/>
          <w:tab w:val="left" w:pos="1179"/>
        </w:tabs>
        <w:spacing w:before="11"/>
        <w:ind w:left="792"/>
      </w:pPr>
      <w:r w:rsidRPr="000208FA">
        <w:rPr>
          <w:b/>
          <w:bCs/>
        </w:rPr>
        <w:t>Sarah Parsons</w:t>
      </w:r>
      <w:r w:rsidR="000208FA" w:rsidRPr="0017530E" w:rsidDel="000208FA">
        <w:t xml:space="preserve"> </w:t>
      </w:r>
    </w:p>
    <w:p w14:paraId="22565F12" w14:textId="64448C2C" w:rsidR="0017530E" w:rsidRDefault="00222E79" w:rsidP="0017530E">
      <w:pPr>
        <w:pStyle w:val="BodyText"/>
        <w:tabs>
          <w:tab w:val="left" w:pos="819"/>
          <w:tab w:val="left" w:pos="820"/>
          <w:tab w:val="left" w:pos="1179"/>
        </w:tabs>
        <w:spacing w:before="11"/>
        <w:ind w:left="792"/>
      </w:pPr>
      <w:r w:rsidRPr="0017530E">
        <w:t>Head of Place and</w:t>
      </w:r>
      <w:r w:rsidRPr="0017530E">
        <w:rPr>
          <w:spacing w:val="-6"/>
        </w:rPr>
        <w:t xml:space="preserve"> </w:t>
      </w:r>
      <w:r w:rsidRPr="0017530E">
        <w:t>Design</w:t>
      </w:r>
    </w:p>
    <w:p w14:paraId="04578C17" w14:textId="7296B9A5" w:rsidR="00222E79" w:rsidRDefault="00AB0CBC" w:rsidP="0017530E">
      <w:pPr>
        <w:pStyle w:val="BodyText"/>
        <w:tabs>
          <w:tab w:val="left" w:pos="819"/>
          <w:tab w:val="left" w:pos="820"/>
          <w:tab w:val="left" w:pos="1179"/>
        </w:tabs>
        <w:spacing w:before="11"/>
        <w:ind w:left="792"/>
      </w:pPr>
      <w:hyperlink r:id="rId10" w:history="1">
        <w:r w:rsidR="00570CFC" w:rsidRPr="00861CDA">
          <w:rPr>
            <w:rStyle w:val="Hyperlink"/>
          </w:rPr>
          <w:t>sarah.parsons@walthamforest.gov.uk</w:t>
        </w:r>
      </w:hyperlink>
    </w:p>
    <w:p w14:paraId="56215DD7" w14:textId="77777777" w:rsidR="00570CFC" w:rsidRDefault="00570CFC" w:rsidP="0017530E">
      <w:pPr>
        <w:pStyle w:val="BodyText"/>
        <w:ind w:left="720"/>
      </w:pPr>
    </w:p>
    <w:p w14:paraId="340DB880" w14:textId="1B5CE747" w:rsidR="0017530E" w:rsidRDefault="0017530E" w:rsidP="0017530E">
      <w:pPr>
        <w:pStyle w:val="BodyText"/>
        <w:ind w:left="720"/>
      </w:pPr>
      <w:r w:rsidRPr="00AF5768">
        <w:t>London Borough of Waltham</w:t>
      </w:r>
      <w:r w:rsidRPr="00AF5768">
        <w:rPr>
          <w:spacing w:val="-5"/>
        </w:rPr>
        <w:t xml:space="preserve"> </w:t>
      </w:r>
      <w:r w:rsidRPr="00AF5768">
        <w:t>Forest</w:t>
      </w:r>
      <w:r>
        <w:t xml:space="preserve">, </w:t>
      </w:r>
    </w:p>
    <w:p w14:paraId="2DA603C8" w14:textId="3ADC64A4" w:rsidR="00222E79" w:rsidRDefault="00222E79" w:rsidP="0017530E">
      <w:pPr>
        <w:pStyle w:val="BodyText"/>
        <w:ind w:left="720"/>
      </w:pPr>
      <w:r>
        <w:t xml:space="preserve">The Magistrates, 1 </w:t>
      </w:r>
      <w:proofErr w:type="spellStart"/>
      <w:r>
        <w:t>Farnan</w:t>
      </w:r>
      <w:proofErr w:type="spellEnd"/>
      <w:r>
        <w:t xml:space="preserve"> Avenue, London E17 4NX</w:t>
      </w:r>
    </w:p>
    <w:p w14:paraId="1BBB6373" w14:textId="6A7E3052" w:rsidR="00222E79" w:rsidRDefault="00222E79" w:rsidP="00A24976">
      <w:pPr>
        <w:pStyle w:val="BodyText"/>
        <w:tabs>
          <w:tab w:val="left" w:pos="1179"/>
        </w:tabs>
        <w:spacing w:before="14"/>
      </w:pPr>
    </w:p>
    <w:sectPr w:rsidR="00222E79" w:rsidSect="001E6DF1">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Ult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46C18"/>
    <w:multiLevelType w:val="multilevel"/>
    <w:tmpl w:val="76D68A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6F5D5F"/>
    <w:multiLevelType w:val="hybridMultilevel"/>
    <w:tmpl w:val="8ECCA8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B73BD"/>
    <w:multiLevelType w:val="multilevel"/>
    <w:tmpl w:val="0C4E8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D461E0"/>
    <w:multiLevelType w:val="multilevel"/>
    <w:tmpl w:val="0C4E81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902E87"/>
    <w:multiLevelType w:val="hybridMultilevel"/>
    <w:tmpl w:val="3EBC4372"/>
    <w:lvl w:ilvl="0" w:tplc="DC5673A2">
      <w:numFmt w:val="bullet"/>
      <w:lvlText w:val="□"/>
      <w:lvlJc w:val="left"/>
      <w:pPr>
        <w:ind w:left="820" w:hanging="360"/>
      </w:pPr>
      <w:rPr>
        <w:rFonts w:ascii="Times New Roman" w:eastAsia="Times New Roman" w:hAnsi="Times New Roman" w:cs="Times New Roman" w:hint="default"/>
        <w:w w:val="75"/>
        <w:sz w:val="24"/>
        <w:szCs w:val="24"/>
      </w:rPr>
    </w:lvl>
    <w:lvl w:ilvl="1" w:tplc="93C47486">
      <w:numFmt w:val="bullet"/>
      <w:lvlText w:val="o"/>
      <w:lvlJc w:val="left"/>
      <w:pPr>
        <w:ind w:left="1540" w:hanging="360"/>
      </w:pPr>
      <w:rPr>
        <w:rFonts w:ascii="Times New Roman" w:eastAsia="Times New Roman" w:hAnsi="Times New Roman" w:cs="Times New Roman" w:hint="default"/>
        <w:w w:val="120"/>
        <w:sz w:val="24"/>
        <w:szCs w:val="24"/>
      </w:rPr>
    </w:lvl>
    <w:lvl w:ilvl="2" w:tplc="9FE6BEAC">
      <w:numFmt w:val="bullet"/>
      <w:lvlText w:val="□"/>
      <w:lvlJc w:val="left"/>
      <w:pPr>
        <w:ind w:left="2260" w:hanging="360"/>
      </w:pPr>
      <w:rPr>
        <w:rFonts w:ascii="Times New Roman" w:eastAsia="Times New Roman" w:hAnsi="Times New Roman" w:cs="Times New Roman" w:hint="default"/>
        <w:w w:val="75"/>
        <w:sz w:val="24"/>
        <w:szCs w:val="24"/>
      </w:rPr>
    </w:lvl>
    <w:lvl w:ilvl="3" w:tplc="3E103D94">
      <w:numFmt w:val="bullet"/>
      <w:lvlText w:val="•"/>
      <w:lvlJc w:val="left"/>
      <w:pPr>
        <w:ind w:left="3133" w:hanging="360"/>
      </w:pPr>
      <w:rPr>
        <w:rFonts w:hint="default"/>
      </w:rPr>
    </w:lvl>
    <w:lvl w:ilvl="4" w:tplc="D8AAB0A8">
      <w:numFmt w:val="bullet"/>
      <w:lvlText w:val="•"/>
      <w:lvlJc w:val="left"/>
      <w:pPr>
        <w:ind w:left="4006" w:hanging="360"/>
      </w:pPr>
      <w:rPr>
        <w:rFonts w:hint="default"/>
      </w:rPr>
    </w:lvl>
    <w:lvl w:ilvl="5" w:tplc="D3EECD8E">
      <w:numFmt w:val="bullet"/>
      <w:lvlText w:val="•"/>
      <w:lvlJc w:val="left"/>
      <w:pPr>
        <w:ind w:left="4879" w:hanging="360"/>
      </w:pPr>
      <w:rPr>
        <w:rFonts w:hint="default"/>
      </w:rPr>
    </w:lvl>
    <w:lvl w:ilvl="6" w:tplc="7F32486A">
      <w:numFmt w:val="bullet"/>
      <w:lvlText w:val="•"/>
      <w:lvlJc w:val="left"/>
      <w:pPr>
        <w:ind w:left="5753" w:hanging="360"/>
      </w:pPr>
      <w:rPr>
        <w:rFonts w:hint="default"/>
      </w:rPr>
    </w:lvl>
    <w:lvl w:ilvl="7" w:tplc="8D6CF810">
      <w:numFmt w:val="bullet"/>
      <w:lvlText w:val="•"/>
      <w:lvlJc w:val="left"/>
      <w:pPr>
        <w:ind w:left="6626" w:hanging="360"/>
      </w:pPr>
      <w:rPr>
        <w:rFonts w:hint="default"/>
      </w:rPr>
    </w:lvl>
    <w:lvl w:ilvl="8" w:tplc="2F4E1894">
      <w:numFmt w:val="bullet"/>
      <w:lvlText w:val="•"/>
      <w:lvlJc w:val="left"/>
      <w:pPr>
        <w:ind w:left="7499" w:hanging="360"/>
      </w:pPr>
      <w:rPr>
        <w:rFonts w:hint="default"/>
      </w:rPr>
    </w:lvl>
  </w:abstractNum>
  <w:abstractNum w:abstractNumId="5" w15:restartNumberingAfterBreak="0">
    <w:nsid w:val="6D7451CC"/>
    <w:multiLevelType w:val="hybridMultilevel"/>
    <w:tmpl w:val="7326E774"/>
    <w:lvl w:ilvl="0" w:tplc="13F60BFA">
      <w:numFmt w:val="bullet"/>
      <w:lvlText w:val="□"/>
      <w:lvlJc w:val="left"/>
      <w:pPr>
        <w:ind w:left="1180" w:hanging="360"/>
      </w:pPr>
      <w:rPr>
        <w:rFonts w:ascii="Times New Roman" w:eastAsia="Times New Roman" w:hAnsi="Times New Roman" w:cs="Times New Roman" w:hint="default"/>
        <w:w w:val="75"/>
        <w:sz w:val="24"/>
        <w:szCs w:val="24"/>
      </w:rPr>
    </w:lvl>
    <w:lvl w:ilvl="1" w:tplc="DC66F686">
      <w:numFmt w:val="bullet"/>
      <w:lvlText w:val="o"/>
      <w:lvlJc w:val="left"/>
      <w:pPr>
        <w:ind w:left="1900" w:hanging="360"/>
      </w:pPr>
      <w:rPr>
        <w:rFonts w:ascii="Times New Roman" w:eastAsia="Times New Roman" w:hAnsi="Times New Roman" w:cs="Times New Roman" w:hint="default"/>
        <w:w w:val="120"/>
        <w:sz w:val="24"/>
        <w:szCs w:val="24"/>
      </w:rPr>
    </w:lvl>
    <w:lvl w:ilvl="2" w:tplc="1FD236CE">
      <w:numFmt w:val="bullet"/>
      <w:lvlText w:val="•"/>
      <w:lvlJc w:val="left"/>
      <w:pPr>
        <w:ind w:left="2716" w:hanging="360"/>
      </w:pPr>
      <w:rPr>
        <w:rFonts w:hint="default"/>
      </w:rPr>
    </w:lvl>
    <w:lvl w:ilvl="3" w:tplc="DDF80372">
      <w:numFmt w:val="bullet"/>
      <w:lvlText w:val="•"/>
      <w:lvlJc w:val="left"/>
      <w:pPr>
        <w:ind w:left="3532" w:hanging="360"/>
      </w:pPr>
      <w:rPr>
        <w:rFonts w:hint="default"/>
      </w:rPr>
    </w:lvl>
    <w:lvl w:ilvl="4" w:tplc="8326C654">
      <w:numFmt w:val="bullet"/>
      <w:lvlText w:val="•"/>
      <w:lvlJc w:val="left"/>
      <w:pPr>
        <w:ind w:left="4348" w:hanging="360"/>
      </w:pPr>
      <w:rPr>
        <w:rFonts w:hint="default"/>
      </w:rPr>
    </w:lvl>
    <w:lvl w:ilvl="5" w:tplc="42B0B3E8">
      <w:numFmt w:val="bullet"/>
      <w:lvlText w:val="•"/>
      <w:lvlJc w:val="left"/>
      <w:pPr>
        <w:ind w:left="5165" w:hanging="360"/>
      </w:pPr>
      <w:rPr>
        <w:rFonts w:hint="default"/>
      </w:rPr>
    </w:lvl>
    <w:lvl w:ilvl="6" w:tplc="3C7E2FB8">
      <w:numFmt w:val="bullet"/>
      <w:lvlText w:val="•"/>
      <w:lvlJc w:val="left"/>
      <w:pPr>
        <w:ind w:left="5981" w:hanging="360"/>
      </w:pPr>
      <w:rPr>
        <w:rFonts w:hint="default"/>
      </w:rPr>
    </w:lvl>
    <w:lvl w:ilvl="7" w:tplc="FAB6BE14">
      <w:numFmt w:val="bullet"/>
      <w:lvlText w:val="•"/>
      <w:lvlJc w:val="left"/>
      <w:pPr>
        <w:ind w:left="6797" w:hanging="360"/>
      </w:pPr>
      <w:rPr>
        <w:rFonts w:hint="default"/>
      </w:rPr>
    </w:lvl>
    <w:lvl w:ilvl="8" w:tplc="9B68600E">
      <w:numFmt w:val="bullet"/>
      <w:lvlText w:val="•"/>
      <w:lvlJc w:val="left"/>
      <w:pPr>
        <w:ind w:left="7613" w:hanging="360"/>
      </w:pPr>
      <w:rPr>
        <w:rFonts w:hint="default"/>
      </w:rPr>
    </w:lvl>
  </w:abstractNum>
  <w:abstractNum w:abstractNumId="6" w15:restartNumberingAfterBreak="0">
    <w:nsid w:val="71983537"/>
    <w:multiLevelType w:val="multilevel"/>
    <w:tmpl w:val="76D68A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51"/>
    <w:rsid w:val="00012E00"/>
    <w:rsid w:val="000208FA"/>
    <w:rsid w:val="000307FB"/>
    <w:rsid w:val="000339E2"/>
    <w:rsid w:val="00053416"/>
    <w:rsid w:val="00076F3A"/>
    <w:rsid w:val="000A3B36"/>
    <w:rsid w:val="000A5AD0"/>
    <w:rsid w:val="000C1177"/>
    <w:rsid w:val="000C73D3"/>
    <w:rsid w:val="000D558E"/>
    <w:rsid w:val="000E70B4"/>
    <w:rsid w:val="000F1477"/>
    <w:rsid w:val="000F7C8C"/>
    <w:rsid w:val="000F7EA1"/>
    <w:rsid w:val="00112CDA"/>
    <w:rsid w:val="0012106D"/>
    <w:rsid w:val="00134CDF"/>
    <w:rsid w:val="00141AC8"/>
    <w:rsid w:val="00160385"/>
    <w:rsid w:val="00162E1D"/>
    <w:rsid w:val="0016317D"/>
    <w:rsid w:val="0017530E"/>
    <w:rsid w:val="00183FB8"/>
    <w:rsid w:val="00187AE9"/>
    <w:rsid w:val="00190785"/>
    <w:rsid w:val="0019083A"/>
    <w:rsid w:val="001A2748"/>
    <w:rsid w:val="001A4145"/>
    <w:rsid w:val="001A6AA0"/>
    <w:rsid w:val="001C69C7"/>
    <w:rsid w:val="001D2DDF"/>
    <w:rsid w:val="001D2F78"/>
    <w:rsid w:val="001E0D7F"/>
    <w:rsid w:val="001E6DF1"/>
    <w:rsid w:val="001F388C"/>
    <w:rsid w:val="00201032"/>
    <w:rsid w:val="00222E79"/>
    <w:rsid w:val="00226F41"/>
    <w:rsid w:val="00232B49"/>
    <w:rsid w:val="00234F11"/>
    <w:rsid w:val="00247715"/>
    <w:rsid w:val="002505E8"/>
    <w:rsid w:val="00273630"/>
    <w:rsid w:val="00284351"/>
    <w:rsid w:val="002C3CB4"/>
    <w:rsid w:val="002C4C50"/>
    <w:rsid w:val="002C75FB"/>
    <w:rsid w:val="002C7904"/>
    <w:rsid w:val="002E1B13"/>
    <w:rsid w:val="002F133E"/>
    <w:rsid w:val="00302E17"/>
    <w:rsid w:val="00303D8F"/>
    <w:rsid w:val="00305D30"/>
    <w:rsid w:val="00306CE4"/>
    <w:rsid w:val="003215A3"/>
    <w:rsid w:val="003245AB"/>
    <w:rsid w:val="00333971"/>
    <w:rsid w:val="00363857"/>
    <w:rsid w:val="00382E4F"/>
    <w:rsid w:val="00397E0B"/>
    <w:rsid w:val="003A1F79"/>
    <w:rsid w:val="003C341C"/>
    <w:rsid w:val="003C63AD"/>
    <w:rsid w:val="003D10F8"/>
    <w:rsid w:val="003F25D0"/>
    <w:rsid w:val="004014C5"/>
    <w:rsid w:val="004137AD"/>
    <w:rsid w:val="00416709"/>
    <w:rsid w:val="0042642F"/>
    <w:rsid w:val="00435CF6"/>
    <w:rsid w:val="0044403E"/>
    <w:rsid w:val="00446611"/>
    <w:rsid w:val="00450AC8"/>
    <w:rsid w:val="004530C6"/>
    <w:rsid w:val="00472E69"/>
    <w:rsid w:val="00484ECE"/>
    <w:rsid w:val="00496E5D"/>
    <w:rsid w:val="004A1140"/>
    <w:rsid w:val="004A49B8"/>
    <w:rsid w:val="004D5323"/>
    <w:rsid w:val="004F0F8C"/>
    <w:rsid w:val="004F5DF0"/>
    <w:rsid w:val="00513779"/>
    <w:rsid w:val="00523874"/>
    <w:rsid w:val="0053283A"/>
    <w:rsid w:val="005336B3"/>
    <w:rsid w:val="00533C3F"/>
    <w:rsid w:val="00551264"/>
    <w:rsid w:val="00570CFC"/>
    <w:rsid w:val="0057216C"/>
    <w:rsid w:val="005832FA"/>
    <w:rsid w:val="00596C62"/>
    <w:rsid w:val="005B7D5D"/>
    <w:rsid w:val="005C0B85"/>
    <w:rsid w:val="005C0BA7"/>
    <w:rsid w:val="005E00F2"/>
    <w:rsid w:val="00605BFB"/>
    <w:rsid w:val="006225EB"/>
    <w:rsid w:val="00630EB6"/>
    <w:rsid w:val="0063559F"/>
    <w:rsid w:val="00635CF1"/>
    <w:rsid w:val="00646140"/>
    <w:rsid w:val="00647569"/>
    <w:rsid w:val="00663F7B"/>
    <w:rsid w:val="0066559F"/>
    <w:rsid w:val="006748DB"/>
    <w:rsid w:val="006759E9"/>
    <w:rsid w:val="006905BB"/>
    <w:rsid w:val="006968C2"/>
    <w:rsid w:val="00697729"/>
    <w:rsid w:val="006A2EAC"/>
    <w:rsid w:val="006E0C81"/>
    <w:rsid w:val="006F4617"/>
    <w:rsid w:val="006F4FFD"/>
    <w:rsid w:val="006F7A22"/>
    <w:rsid w:val="006F7E28"/>
    <w:rsid w:val="007008D7"/>
    <w:rsid w:val="0070168C"/>
    <w:rsid w:val="00707741"/>
    <w:rsid w:val="007315BE"/>
    <w:rsid w:val="00737D63"/>
    <w:rsid w:val="00747C3F"/>
    <w:rsid w:val="00753AD1"/>
    <w:rsid w:val="0075402F"/>
    <w:rsid w:val="00756CF1"/>
    <w:rsid w:val="00757B78"/>
    <w:rsid w:val="0077606F"/>
    <w:rsid w:val="00792326"/>
    <w:rsid w:val="00795D9C"/>
    <w:rsid w:val="007A2285"/>
    <w:rsid w:val="007B4ECF"/>
    <w:rsid w:val="007C55BC"/>
    <w:rsid w:val="007C683D"/>
    <w:rsid w:val="007F5818"/>
    <w:rsid w:val="0080423C"/>
    <w:rsid w:val="00804FB4"/>
    <w:rsid w:val="008050D8"/>
    <w:rsid w:val="00816CFE"/>
    <w:rsid w:val="00821DA4"/>
    <w:rsid w:val="00855101"/>
    <w:rsid w:val="008800B6"/>
    <w:rsid w:val="008A411B"/>
    <w:rsid w:val="008C33E1"/>
    <w:rsid w:val="008D422A"/>
    <w:rsid w:val="008F5802"/>
    <w:rsid w:val="009054FC"/>
    <w:rsid w:val="0092605C"/>
    <w:rsid w:val="00927E32"/>
    <w:rsid w:val="00931A52"/>
    <w:rsid w:val="009320DF"/>
    <w:rsid w:val="00933899"/>
    <w:rsid w:val="00935420"/>
    <w:rsid w:val="00940392"/>
    <w:rsid w:val="009609A2"/>
    <w:rsid w:val="00964425"/>
    <w:rsid w:val="009666AE"/>
    <w:rsid w:val="009A7C74"/>
    <w:rsid w:val="009B270E"/>
    <w:rsid w:val="009C217D"/>
    <w:rsid w:val="009C272F"/>
    <w:rsid w:val="009C3626"/>
    <w:rsid w:val="009C5CF7"/>
    <w:rsid w:val="009C6450"/>
    <w:rsid w:val="009C7DA5"/>
    <w:rsid w:val="009D0F4B"/>
    <w:rsid w:val="009D1410"/>
    <w:rsid w:val="009D3FA3"/>
    <w:rsid w:val="009D6CB8"/>
    <w:rsid w:val="009E75E1"/>
    <w:rsid w:val="009F237B"/>
    <w:rsid w:val="00A225DF"/>
    <w:rsid w:val="00A2409A"/>
    <w:rsid w:val="00A246DF"/>
    <w:rsid w:val="00A24976"/>
    <w:rsid w:val="00A52A53"/>
    <w:rsid w:val="00A66AE0"/>
    <w:rsid w:val="00A71528"/>
    <w:rsid w:val="00A75C7F"/>
    <w:rsid w:val="00A943A5"/>
    <w:rsid w:val="00A9497E"/>
    <w:rsid w:val="00A968F8"/>
    <w:rsid w:val="00AA15A4"/>
    <w:rsid w:val="00AA22E2"/>
    <w:rsid w:val="00AB0CBC"/>
    <w:rsid w:val="00AB28A5"/>
    <w:rsid w:val="00AB4C97"/>
    <w:rsid w:val="00AF104F"/>
    <w:rsid w:val="00AF1092"/>
    <w:rsid w:val="00AF5768"/>
    <w:rsid w:val="00B018FE"/>
    <w:rsid w:val="00B026DB"/>
    <w:rsid w:val="00B06923"/>
    <w:rsid w:val="00B11419"/>
    <w:rsid w:val="00B215A8"/>
    <w:rsid w:val="00B34512"/>
    <w:rsid w:val="00B4346E"/>
    <w:rsid w:val="00B56D34"/>
    <w:rsid w:val="00B57119"/>
    <w:rsid w:val="00B6530C"/>
    <w:rsid w:val="00B71885"/>
    <w:rsid w:val="00B775DC"/>
    <w:rsid w:val="00B778EA"/>
    <w:rsid w:val="00B8145E"/>
    <w:rsid w:val="00B829CC"/>
    <w:rsid w:val="00BA0A36"/>
    <w:rsid w:val="00BA5EAA"/>
    <w:rsid w:val="00BB1C98"/>
    <w:rsid w:val="00BB31B8"/>
    <w:rsid w:val="00BE5097"/>
    <w:rsid w:val="00BF203F"/>
    <w:rsid w:val="00C12A69"/>
    <w:rsid w:val="00C17E8C"/>
    <w:rsid w:val="00C24FFF"/>
    <w:rsid w:val="00C40C0A"/>
    <w:rsid w:val="00C47ADC"/>
    <w:rsid w:val="00C519F2"/>
    <w:rsid w:val="00C6463D"/>
    <w:rsid w:val="00C96BF7"/>
    <w:rsid w:val="00CA5697"/>
    <w:rsid w:val="00CB08C3"/>
    <w:rsid w:val="00CB1FBD"/>
    <w:rsid w:val="00CB68AA"/>
    <w:rsid w:val="00CD3AA3"/>
    <w:rsid w:val="00CF1E2A"/>
    <w:rsid w:val="00CF45D7"/>
    <w:rsid w:val="00D04251"/>
    <w:rsid w:val="00D4677C"/>
    <w:rsid w:val="00D66875"/>
    <w:rsid w:val="00D813B4"/>
    <w:rsid w:val="00DA1E0A"/>
    <w:rsid w:val="00DA408D"/>
    <w:rsid w:val="00DB76EC"/>
    <w:rsid w:val="00DC61CF"/>
    <w:rsid w:val="00DD0877"/>
    <w:rsid w:val="00DE2882"/>
    <w:rsid w:val="00DF118C"/>
    <w:rsid w:val="00DF3D02"/>
    <w:rsid w:val="00DF4678"/>
    <w:rsid w:val="00E13C5A"/>
    <w:rsid w:val="00E343BD"/>
    <w:rsid w:val="00E6675A"/>
    <w:rsid w:val="00E7035A"/>
    <w:rsid w:val="00E82CB2"/>
    <w:rsid w:val="00E830EC"/>
    <w:rsid w:val="00EA0078"/>
    <w:rsid w:val="00EC3194"/>
    <w:rsid w:val="00ED672F"/>
    <w:rsid w:val="00EE7011"/>
    <w:rsid w:val="00F1315C"/>
    <w:rsid w:val="00F223B0"/>
    <w:rsid w:val="00F22E7C"/>
    <w:rsid w:val="00F42CBC"/>
    <w:rsid w:val="00F52B04"/>
    <w:rsid w:val="00F70839"/>
    <w:rsid w:val="00F91752"/>
    <w:rsid w:val="00FA7672"/>
    <w:rsid w:val="00FB1117"/>
    <w:rsid w:val="00FB42D8"/>
    <w:rsid w:val="00FB4421"/>
    <w:rsid w:val="00FD5624"/>
    <w:rsid w:val="00FF2FEA"/>
    <w:rsid w:val="133CB85C"/>
    <w:rsid w:val="1D76BC8A"/>
    <w:rsid w:val="23BF3487"/>
    <w:rsid w:val="54BEC51B"/>
    <w:rsid w:val="78E68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47B9"/>
  <w15:docId w15:val="{F9D01881-21ED-445C-BD7F-C1E034FB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5768"/>
    <w:rPr>
      <w:color w:val="0000FF" w:themeColor="hyperlink"/>
      <w:u w:val="single"/>
    </w:rPr>
  </w:style>
  <w:style w:type="character" w:styleId="UnresolvedMention">
    <w:name w:val="Unresolved Mention"/>
    <w:basedOn w:val="DefaultParagraphFont"/>
    <w:uiPriority w:val="99"/>
    <w:semiHidden/>
    <w:unhideWhenUsed/>
    <w:rsid w:val="00AF5768"/>
    <w:rPr>
      <w:color w:val="605E5C"/>
      <w:shd w:val="clear" w:color="auto" w:fill="E1DFDD"/>
    </w:rPr>
  </w:style>
  <w:style w:type="table" w:styleId="TableGrid">
    <w:name w:val="Table Grid"/>
    <w:basedOn w:val="TableNormal"/>
    <w:uiPriority w:val="39"/>
    <w:rsid w:val="008C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1F79"/>
    <w:rPr>
      <w:sz w:val="16"/>
      <w:szCs w:val="16"/>
    </w:rPr>
  </w:style>
  <w:style w:type="paragraph" w:styleId="CommentText">
    <w:name w:val="annotation text"/>
    <w:basedOn w:val="Normal"/>
    <w:link w:val="CommentTextChar"/>
    <w:uiPriority w:val="99"/>
    <w:semiHidden/>
    <w:unhideWhenUsed/>
    <w:rsid w:val="003A1F79"/>
    <w:rPr>
      <w:sz w:val="20"/>
      <w:szCs w:val="20"/>
    </w:rPr>
  </w:style>
  <w:style w:type="character" w:customStyle="1" w:styleId="CommentTextChar">
    <w:name w:val="Comment Text Char"/>
    <w:basedOn w:val="DefaultParagraphFont"/>
    <w:link w:val="CommentText"/>
    <w:uiPriority w:val="99"/>
    <w:semiHidden/>
    <w:rsid w:val="003A1F79"/>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3A1F79"/>
    <w:rPr>
      <w:b/>
      <w:bCs/>
    </w:rPr>
  </w:style>
  <w:style w:type="character" w:customStyle="1" w:styleId="CommentSubjectChar">
    <w:name w:val="Comment Subject Char"/>
    <w:basedOn w:val="CommentTextChar"/>
    <w:link w:val="CommentSubject"/>
    <w:uiPriority w:val="99"/>
    <w:semiHidden/>
    <w:rsid w:val="003A1F79"/>
    <w:rPr>
      <w:rFonts w:ascii="Calibri Light" w:eastAsia="Calibri Light" w:hAnsi="Calibri Light" w:cs="Calibri Light"/>
      <w:b/>
      <w:bCs/>
      <w:sz w:val="20"/>
      <w:szCs w:val="20"/>
    </w:rPr>
  </w:style>
  <w:style w:type="paragraph" w:styleId="BalloonText">
    <w:name w:val="Balloon Text"/>
    <w:basedOn w:val="Normal"/>
    <w:link w:val="BalloonTextChar"/>
    <w:uiPriority w:val="99"/>
    <w:semiHidden/>
    <w:unhideWhenUsed/>
    <w:rsid w:val="003A1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79"/>
    <w:rPr>
      <w:rFonts w:ascii="Segoe UI" w:eastAsia="Calibri Light" w:hAnsi="Segoe UI" w:cs="Segoe UI"/>
      <w:sz w:val="18"/>
      <w:szCs w:val="18"/>
    </w:rPr>
  </w:style>
  <w:style w:type="paragraph" w:customStyle="1" w:styleId="paragraph">
    <w:name w:val="paragraph"/>
    <w:basedOn w:val="Normal"/>
    <w:rsid w:val="005832FA"/>
    <w:pPr>
      <w:widowControl/>
      <w:autoSpaceDE/>
      <w:autoSpaceDN/>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58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rah.parsons@walthamforest.gov.uk" TargetMode="External"/><Relationship Id="rId4" Type="http://schemas.openxmlformats.org/officeDocument/2006/relationships/numbering" Target="numbering.xml"/><Relationship Id="rId9" Type="http://schemas.openxmlformats.org/officeDocument/2006/relationships/hyperlink" Target="mailto:Antonio.mesini@walthamfores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3d4d7d-6194-4f7c-9678-12df09767fb5">
      <UserInfo>
        <DisplayName>Sarah Parsons</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8BA6B53EBC11499B1A07A99F797A86" ma:contentTypeVersion="6" ma:contentTypeDescription="Create a new document." ma:contentTypeScope="" ma:versionID="742dc364acfffe859cfa98120d02a6a1">
  <xsd:schema xmlns:xsd="http://www.w3.org/2001/XMLSchema" xmlns:xs="http://www.w3.org/2001/XMLSchema" xmlns:p="http://schemas.microsoft.com/office/2006/metadata/properties" xmlns:ns2="864dc275-e198-418f-b086-df74dbfa9e8f" xmlns:ns3="d03d4d7d-6194-4f7c-9678-12df09767fb5" targetNamespace="http://schemas.microsoft.com/office/2006/metadata/properties" ma:root="true" ma:fieldsID="5035b3a88942003438f7107f93402e54" ns2:_="" ns3:_="">
    <xsd:import namespace="864dc275-e198-418f-b086-df74dbfa9e8f"/>
    <xsd:import namespace="d03d4d7d-6194-4f7c-9678-12df09767f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dc275-e198-418f-b086-df74dbfa9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d4d7d-6194-4f7c-9678-12df09767f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EEA7C-107C-4A4C-BDAA-FC0D7A6B7793}">
  <ds:schemaRefs>
    <ds:schemaRef ds:uri="http://schemas.microsoft.com/office/2006/metadata/properties"/>
    <ds:schemaRef ds:uri="http://schemas.microsoft.com/office/infopath/2007/PartnerControls"/>
    <ds:schemaRef ds:uri="d03d4d7d-6194-4f7c-9678-12df09767fb5"/>
  </ds:schemaRefs>
</ds:datastoreItem>
</file>

<file path=customXml/itemProps2.xml><?xml version="1.0" encoding="utf-8"?>
<ds:datastoreItem xmlns:ds="http://schemas.openxmlformats.org/officeDocument/2006/customXml" ds:itemID="{E26B6C4C-AEC0-4C85-B7BF-F3354CC2F48D}">
  <ds:schemaRefs>
    <ds:schemaRef ds:uri="http://schemas.microsoft.com/sharepoint/v3/contenttype/forms"/>
  </ds:schemaRefs>
</ds:datastoreItem>
</file>

<file path=customXml/itemProps3.xml><?xml version="1.0" encoding="utf-8"?>
<ds:datastoreItem xmlns:ds="http://schemas.openxmlformats.org/officeDocument/2006/customXml" ds:itemID="{4853D8D0-5323-4F10-8F3C-2F62FEFAD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dc275-e198-418f-b086-df74dbfa9e8f"/>
    <ds:schemaRef ds:uri="d03d4d7d-6194-4f7c-9678-12df09767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901</Words>
  <Characters>5136</Characters>
  <Application>Microsoft Office Word</Application>
  <DocSecurity>4</DocSecurity>
  <Lines>42</Lines>
  <Paragraphs>12</Paragraphs>
  <ScaleCrop>false</ScaleCrop>
  <Company/>
  <LinksUpToDate>false</LinksUpToDate>
  <CharactersWithSpaces>6025</CharactersWithSpaces>
  <SharedDoc>false</SharedDoc>
  <HLinks>
    <vt:vector size="12" baseType="variant">
      <vt:variant>
        <vt:i4>1114148</vt:i4>
      </vt:variant>
      <vt:variant>
        <vt:i4>3</vt:i4>
      </vt:variant>
      <vt:variant>
        <vt:i4>0</vt:i4>
      </vt:variant>
      <vt:variant>
        <vt:i4>5</vt:i4>
      </vt:variant>
      <vt:variant>
        <vt:lpwstr>mailto:sarah.parsons@walthamforest.gov.uk</vt:lpwstr>
      </vt:variant>
      <vt:variant>
        <vt:lpwstr/>
      </vt:variant>
      <vt:variant>
        <vt:i4>5308525</vt:i4>
      </vt:variant>
      <vt:variant>
        <vt:i4>0</vt:i4>
      </vt:variant>
      <vt:variant>
        <vt:i4>0</vt:i4>
      </vt:variant>
      <vt:variant>
        <vt:i4>5</vt:i4>
      </vt:variant>
      <vt:variant>
        <vt:lpwstr>mailto:Antonio.mesini@walthamforest.gov.uk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Leyton Bus Depot brief</dc:title>
  <dc:subject/>
  <dc:creator>SParsons</dc:creator>
  <cp:keywords/>
  <dc:description/>
  <cp:lastModifiedBy>Antonio Mesini</cp:lastModifiedBy>
  <cp:revision>7</cp:revision>
  <dcterms:created xsi:type="dcterms:W3CDTF">2021-01-22T00:04:00Z</dcterms:created>
  <dcterms:modified xsi:type="dcterms:W3CDTF">2021-02-03T20:01:00Z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LastSaved">
    <vt:filetime>2021-01-19T00:00:00Z</vt:filetime>
  </property>
  <property fmtid="{D5CDD505-2E9C-101B-9397-08002B2CF9AE}" pid="4" name="ContentTypeId">
    <vt:lpwstr>0x0101003A8BA6B53EBC11499B1A07A99F797A86</vt:lpwstr>
  </property>
</Properties>
</file>