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6611"/>
      </w:tblGrid>
      <w:tr w:rsidR="00684F5C" w:rsidRPr="00C17A2E" w14:paraId="28499638" w14:textId="77777777" w:rsidTr="000E3622">
        <w:tc>
          <w:tcPr>
            <w:tcW w:w="2547" w:type="dxa"/>
            <w:tcBorders>
              <w:top w:val="nil"/>
              <w:left w:val="nil"/>
              <w:bottom w:val="single" w:sz="4" w:space="0" w:color="D9D9D9" w:themeColor="background1" w:themeShade="D9"/>
              <w:right w:val="single" w:sz="4" w:space="0" w:color="D9D9D9" w:themeColor="background1" w:themeShade="D9"/>
            </w:tcBorders>
            <w:hideMark/>
          </w:tcPr>
          <w:p w14:paraId="67D0FFD3" w14:textId="2012D2F5" w:rsidR="00684F5C" w:rsidRPr="00F63DC3" w:rsidRDefault="00815D14" w:rsidP="00684F5C">
            <w:pPr>
              <w:pStyle w:val="Heading1"/>
              <w:rPr>
                <w:rFonts w:ascii="Open Sans" w:hAnsi="Open Sans" w:cs="Open Sans"/>
                <w:color w:val="0099A0"/>
              </w:rPr>
            </w:pPr>
            <w:r>
              <w:rPr>
                <w:rFonts w:ascii="Open Sans" w:hAnsi="Open Sans" w:cs="Open Sans"/>
                <w:color w:val="0099A0"/>
              </w:rPr>
              <w:t>Title</w:t>
            </w:r>
            <w:r w:rsidR="00684F5C" w:rsidRPr="00F63DC3">
              <w:rPr>
                <w:rFonts w:ascii="Open Sans" w:hAnsi="Open Sans" w:cs="Open Sans"/>
                <w:color w:val="0099A0"/>
              </w:rPr>
              <w:t>:</w:t>
            </w:r>
          </w:p>
        </w:tc>
        <w:tc>
          <w:tcPr>
            <w:tcW w:w="6611" w:type="dxa"/>
            <w:tcBorders>
              <w:top w:val="nil"/>
              <w:left w:val="single" w:sz="4" w:space="0" w:color="D9D9D9" w:themeColor="background1" w:themeShade="D9"/>
              <w:bottom w:val="single" w:sz="4" w:space="0" w:color="D9D9D9" w:themeColor="background1" w:themeShade="D9"/>
              <w:right w:val="nil"/>
            </w:tcBorders>
          </w:tcPr>
          <w:p w14:paraId="57F3351E" w14:textId="2B2D6F62" w:rsidR="00684F5C" w:rsidRPr="001E3186" w:rsidRDefault="00B37806">
            <w:pPr>
              <w:spacing w:before="120" w:after="120"/>
              <w:rPr>
                <w:i/>
                <w:iCs/>
              </w:rPr>
            </w:pPr>
            <w:r w:rsidRPr="00B37806">
              <w:rPr>
                <w:rStyle w:val="SubtleEmphasis"/>
                <w:rFonts w:ascii="Open Sans" w:hAnsi="Open Sans" w:cs="Open Sans"/>
                <w:i w:val="0"/>
                <w:iCs w:val="0"/>
                <w:color w:val="20275C"/>
              </w:rPr>
              <w:t>North West Flexible Purchasing System for SEND</w:t>
            </w:r>
          </w:p>
        </w:tc>
      </w:tr>
      <w:tr w:rsidR="00684F5C" w:rsidRPr="00C17A2E" w14:paraId="177D2AC4" w14:textId="77777777" w:rsidTr="000E3622">
        <w:tc>
          <w:tcPr>
            <w:tcW w:w="25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A149F69" w14:textId="77777777" w:rsidR="00684F5C" w:rsidRPr="00F63DC3" w:rsidRDefault="00684F5C" w:rsidP="00684F5C">
            <w:pPr>
              <w:pStyle w:val="Heading1"/>
              <w:rPr>
                <w:rFonts w:ascii="Open Sans" w:hAnsi="Open Sans" w:cs="Open Sans"/>
                <w:color w:val="0099A0"/>
              </w:rPr>
            </w:pPr>
            <w:r w:rsidRPr="00F63DC3">
              <w:rPr>
                <w:rFonts w:ascii="Open Sans" w:hAnsi="Open Sans" w:cs="Open Sans"/>
                <w:color w:val="0099A0"/>
              </w:rPr>
              <w:t>Date:</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345A68" w14:textId="3F21813C" w:rsidR="00684F5C" w:rsidRPr="003B25FB" w:rsidRDefault="001E3186">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August 2020</w:t>
            </w:r>
          </w:p>
        </w:tc>
      </w:tr>
      <w:tr w:rsidR="00684F5C" w:rsidRPr="00C17A2E" w14:paraId="3894BE56" w14:textId="77777777" w:rsidTr="000E3622">
        <w:tc>
          <w:tcPr>
            <w:tcW w:w="25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7DE52BB" w14:textId="062965BF" w:rsidR="00684F5C" w:rsidRPr="00B37806" w:rsidRDefault="00B37806" w:rsidP="00684F5C">
            <w:pPr>
              <w:pStyle w:val="Heading1"/>
              <w:rPr>
                <w:rStyle w:val="SubtleEmphasis"/>
                <w:rFonts w:eastAsiaTheme="minorHAnsi"/>
                <w:i w:val="0"/>
                <w:iCs w:val="0"/>
                <w:color w:val="20275C"/>
                <w:spacing w:val="0"/>
                <w:kern w:val="0"/>
                <w:sz w:val="22"/>
                <w:szCs w:val="22"/>
              </w:rPr>
            </w:pPr>
            <w:r w:rsidRPr="00B37806">
              <w:rPr>
                <w:rFonts w:ascii="Open Sans" w:hAnsi="Open Sans" w:cs="Open Sans"/>
                <w:color w:val="0099A0"/>
              </w:rPr>
              <w:t>For</w:t>
            </w:r>
            <w:r w:rsidR="00684F5C" w:rsidRPr="00B37806">
              <w:rPr>
                <w:rFonts w:ascii="Open Sans" w:hAnsi="Open Sans" w:cs="Open Sans"/>
                <w:color w:val="0099A0"/>
              </w:rPr>
              <w:t>:</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18AC3E" w14:textId="2AA0B5D9" w:rsidR="00684F5C" w:rsidRPr="00B37806" w:rsidRDefault="00B37806">
            <w:pPr>
              <w:spacing w:before="120" w:after="120"/>
              <w:rPr>
                <w:rStyle w:val="SubtleEmphasis"/>
                <w:rFonts w:ascii="Open Sans" w:hAnsi="Open Sans" w:cs="Open Sans"/>
                <w:i w:val="0"/>
                <w:iCs w:val="0"/>
                <w:color w:val="20275C"/>
              </w:rPr>
            </w:pPr>
            <w:r w:rsidRPr="00B37806">
              <w:rPr>
                <w:rStyle w:val="SubtleEmphasis"/>
                <w:rFonts w:ascii="Open Sans" w:hAnsi="Open Sans" w:cs="Open Sans"/>
                <w:i w:val="0"/>
                <w:iCs w:val="0"/>
                <w:color w:val="20275C"/>
              </w:rPr>
              <w:t xml:space="preserve">Bulletin for Providers </w:t>
            </w:r>
          </w:p>
        </w:tc>
      </w:tr>
    </w:tbl>
    <w:p w14:paraId="3056D200" w14:textId="77777777" w:rsidR="00E77B6A" w:rsidRDefault="00E77B6A" w:rsidP="00684F5C">
      <w:pPr>
        <w:pStyle w:val="Heading1"/>
        <w:rPr>
          <w:rFonts w:ascii="Open Sans" w:hAnsi="Open Sans" w:cs="Open Sans"/>
          <w:color w:val="0099A0"/>
          <w:sz w:val="28"/>
          <w:szCs w:val="28"/>
        </w:rPr>
      </w:pPr>
    </w:p>
    <w:p w14:paraId="50F46509" w14:textId="184F0443" w:rsidR="006618A6" w:rsidRPr="006618A6" w:rsidRDefault="00B37806" w:rsidP="00684F5C">
      <w:pPr>
        <w:pStyle w:val="Heading1"/>
        <w:rPr>
          <w:rFonts w:ascii="Open Sans" w:hAnsi="Open Sans" w:cs="Open Sans"/>
          <w:color w:val="0099A0"/>
          <w:sz w:val="28"/>
          <w:szCs w:val="28"/>
        </w:rPr>
      </w:pPr>
      <w:r>
        <w:rPr>
          <w:rFonts w:ascii="Open Sans" w:hAnsi="Open Sans" w:cs="Open Sans"/>
          <w:color w:val="0099A0"/>
          <w:sz w:val="28"/>
          <w:szCs w:val="28"/>
        </w:rPr>
        <w:t>Introduction</w:t>
      </w:r>
    </w:p>
    <w:p w14:paraId="20F17158" w14:textId="2B35E2D9" w:rsidR="00684F5C" w:rsidRDefault="00B37806" w:rsidP="001E3186">
      <w:pPr>
        <w:pStyle w:val="Heading1"/>
        <w:rPr>
          <w:rStyle w:val="Emphasis"/>
          <w:rFonts w:ascii="Open Sans" w:hAnsi="Open Sans" w:cs="Open Sans"/>
          <w:i w:val="0"/>
          <w:iCs w:val="0"/>
          <w:color w:val="20275C"/>
          <w:sz w:val="22"/>
          <w:szCs w:val="22"/>
        </w:rPr>
      </w:pPr>
      <w:r>
        <w:rPr>
          <w:rStyle w:val="Emphasis"/>
          <w:rFonts w:ascii="Open Sans" w:hAnsi="Open Sans" w:cs="Open Sans"/>
          <w:i w:val="0"/>
          <w:iCs w:val="0"/>
          <w:color w:val="20275C"/>
          <w:sz w:val="22"/>
          <w:szCs w:val="22"/>
        </w:rPr>
        <w:t>This</w:t>
      </w:r>
      <w:r w:rsidRPr="00B37806">
        <w:t xml:space="preserve"> </w:t>
      </w:r>
      <w:r w:rsidRPr="00B37806">
        <w:rPr>
          <w:rStyle w:val="Emphasis"/>
          <w:rFonts w:ascii="Open Sans" w:hAnsi="Open Sans" w:cs="Open Sans"/>
          <w:i w:val="0"/>
          <w:iCs w:val="0"/>
          <w:color w:val="20275C"/>
          <w:sz w:val="22"/>
          <w:szCs w:val="22"/>
        </w:rPr>
        <w:t>is another bulletin to keep you up to date with the development of the North West Flexible Purchasing System for Special Educational Needs and Disabilities (SEND)</w:t>
      </w:r>
      <w:r w:rsidR="000671A4">
        <w:rPr>
          <w:rStyle w:val="Emphasis"/>
          <w:rFonts w:ascii="Open Sans" w:hAnsi="Open Sans" w:cs="Open Sans"/>
          <w:i w:val="0"/>
          <w:iCs w:val="0"/>
          <w:color w:val="20275C"/>
          <w:sz w:val="22"/>
          <w:szCs w:val="22"/>
        </w:rPr>
        <w:t xml:space="preserve"> school places</w:t>
      </w:r>
      <w:r w:rsidRPr="00B37806">
        <w:rPr>
          <w:rStyle w:val="Emphasis"/>
          <w:rFonts w:ascii="Open Sans" w:hAnsi="Open Sans" w:cs="Open Sans"/>
          <w:i w:val="0"/>
          <w:iCs w:val="0"/>
          <w:color w:val="20275C"/>
          <w:sz w:val="22"/>
          <w:szCs w:val="22"/>
        </w:rPr>
        <w:t>.</w:t>
      </w:r>
    </w:p>
    <w:p w14:paraId="7C003A48" w14:textId="77777777" w:rsidR="001E3186" w:rsidRPr="001E3186" w:rsidRDefault="001E3186" w:rsidP="001E3186"/>
    <w:p w14:paraId="645C968C" w14:textId="2EFFAA1B" w:rsidR="006618A6" w:rsidRPr="006618A6" w:rsidRDefault="00B37806" w:rsidP="00684F5C">
      <w:pPr>
        <w:pStyle w:val="Heading1"/>
        <w:rPr>
          <w:rFonts w:ascii="Open Sans" w:hAnsi="Open Sans" w:cs="Open Sans"/>
          <w:color w:val="0099A0"/>
          <w:sz w:val="28"/>
          <w:szCs w:val="28"/>
        </w:rPr>
      </w:pPr>
      <w:r>
        <w:rPr>
          <w:rFonts w:ascii="Open Sans" w:hAnsi="Open Sans" w:cs="Open Sans"/>
          <w:color w:val="0099A0"/>
          <w:sz w:val="28"/>
          <w:szCs w:val="28"/>
        </w:rPr>
        <w:t>Background</w:t>
      </w:r>
    </w:p>
    <w:p w14:paraId="0F58C0C0" w14:textId="26851900" w:rsidR="00B37806" w:rsidRPr="00B37806" w:rsidRDefault="00B37806" w:rsidP="00B37806">
      <w:pPr>
        <w:pStyle w:val="Heading1"/>
        <w:rPr>
          <w:rStyle w:val="Emphasis"/>
          <w:rFonts w:ascii="Open Sans" w:hAnsi="Open Sans" w:cs="Open Sans"/>
          <w:i w:val="0"/>
          <w:iCs w:val="0"/>
          <w:color w:val="20275C"/>
          <w:sz w:val="22"/>
          <w:szCs w:val="22"/>
        </w:rPr>
      </w:pPr>
      <w:r>
        <w:rPr>
          <w:rStyle w:val="Emphasis"/>
          <w:rFonts w:ascii="Open Sans" w:hAnsi="Open Sans" w:cs="Open Sans"/>
          <w:i w:val="0"/>
          <w:iCs w:val="0"/>
          <w:color w:val="20275C"/>
          <w:sz w:val="22"/>
          <w:szCs w:val="22"/>
        </w:rPr>
        <w:t>The</w:t>
      </w:r>
      <w:r w:rsidRPr="00B37806">
        <w:t xml:space="preserve"> </w:t>
      </w:r>
      <w:r w:rsidRPr="00B37806">
        <w:rPr>
          <w:rStyle w:val="Emphasis"/>
          <w:rFonts w:ascii="Open Sans" w:hAnsi="Open Sans" w:cs="Open Sans"/>
          <w:i w:val="0"/>
          <w:iCs w:val="0"/>
          <w:color w:val="20275C"/>
          <w:sz w:val="22"/>
          <w:szCs w:val="22"/>
        </w:rPr>
        <w:t>local authorities in the North West are developing a contract to be able to source SEND school placements (called a ‘Flexible Purchasing System’) for children and young people up to the age of 25 that have an education, health and care plan.</w:t>
      </w:r>
    </w:p>
    <w:p w14:paraId="5AE73E05" w14:textId="77777777" w:rsidR="00B37806" w:rsidRPr="00B37806" w:rsidRDefault="00B37806" w:rsidP="00B37806">
      <w:pPr>
        <w:pStyle w:val="Heading1"/>
        <w:rPr>
          <w:rStyle w:val="Emphasis"/>
          <w:rFonts w:ascii="Open Sans" w:hAnsi="Open Sans" w:cs="Open Sans"/>
          <w:i w:val="0"/>
          <w:iCs w:val="0"/>
          <w:color w:val="20275C"/>
          <w:sz w:val="22"/>
          <w:szCs w:val="22"/>
        </w:rPr>
      </w:pPr>
    </w:p>
    <w:p w14:paraId="74432F76"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The Flexible Purchasing System will support placement finding for the following types of schools:</w:t>
      </w:r>
    </w:p>
    <w:p w14:paraId="5080C66A"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w:t>
      </w:r>
      <w:r w:rsidRPr="00B37806">
        <w:rPr>
          <w:rStyle w:val="Emphasis"/>
          <w:rFonts w:ascii="Open Sans" w:hAnsi="Open Sans" w:cs="Open Sans"/>
          <w:i w:val="0"/>
          <w:iCs w:val="0"/>
          <w:color w:val="20275C"/>
          <w:sz w:val="22"/>
          <w:szCs w:val="22"/>
        </w:rPr>
        <w:tab/>
        <w:t>Independent and non-maintained special schools</w:t>
      </w:r>
    </w:p>
    <w:p w14:paraId="7748B6C8"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w:t>
      </w:r>
      <w:r w:rsidRPr="00B37806">
        <w:rPr>
          <w:rStyle w:val="Emphasis"/>
          <w:rFonts w:ascii="Open Sans" w:hAnsi="Open Sans" w:cs="Open Sans"/>
          <w:i w:val="0"/>
          <w:iCs w:val="0"/>
          <w:color w:val="20275C"/>
          <w:sz w:val="22"/>
          <w:szCs w:val="22"/>
        </w:rPr>
        <w:tab/>
        <w:t>Special Post-16 Institutions</w:t>
      </w:r>
    </w:p>
    <w:p w14:paraId="3B991489" w14:textId="77777777" w:rsidR="00B37806" w:rsidRPr="00B37806" w:rsidRDefault="00B37806" w:rsidP="00B37806">
      <w:pPr>
        <w:pStyle w:val="Heading1"/>
        <w:rPr>
          <w:rStyle w:val="Emphasis"/>
          <w:rFonts w:ascii="Open Sans" w:hAnsi="Open Sans" w:cs="Open Sans"/>
          <w:i w:val="0"/>
          <w:iCs w:val="0"/>
          <w:color w:val="20275C"/>
          <w:sz w:val="22"/>
          <w:szCs w:val="22"/>
        </w:rPr>
      </w:pPr>
    </w:p>
    <w:p w14:paraId="3B9D83D1" w14:textId="3294E369" w:rsidR="000671A4" w:rsidRDefault="00B37806" w:rsidP="000671A4">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 xml:space="preserve">The aim is to establish a regional SEND FPS which will provide consistent quality standards, streamline processes, improve </w:t>
      </w:r>
      <w:proofErr w:type="gramStart"/>
      <w:r w:rsidRPr="00B37806">
        <w:rPr>
          <w:rStyle w:val="Emphasis"/>
          <w:rFonts w:ascii="Open Sans" w:hAnsi="Open Sans" w:cs="Open Sans"/>
          <w:i w:val="0"/>
          <w:iCs w:val="0"/>
          <w:color w:val="20275C"/>
          <w:sz w:val="22"/>
          <w:szCs w:val="22"/>
        </w:rPr>
        <w:t>communication</w:t>
      </w:r>
      <w:proofErr w:type="gramEnd"/>
      <w:r w:rsidRPr="00B37806">
        <w:rPr>
          <w:rStyle w:val="Emphasis"/>
          <w:rFonts w:ascii="Open Sans" w:hAnsi="Open Sans" w:cs="Open Sans"/>
          <w:i w:val="0"/>
          <w:iCs w:val="0"/>
          <w:color w:val="20275C"/>
          <w:sz w:val="22"/>
          <w:szCs w:val="22"/>
        </w:rPr>
        <w:t xml:space="preserve"> and encourage innovation.</w:t>
      </w:r>
    </w:p>
    <w:p w14:paraId="14E4EF8A" w14:textId="77777777" w:rsidR="000671A4" w:rsidRPr="000671A4" w:rsidRDefault="000671A4" w:rsidP="000671A4">
      <w:pPr>
        <w:spacing w:after="0" w:line="240" w:lineRule="auto"/>
      </w:pPr>
    </w:p>
    <w:p w14:paraId="21FF65EF" w14:textId="2B97ABE5" w:rsidR="001E3186" w:rsidRDefault="000671A4" w:rsidP="000671A4">
      <w:pPr>
        <w:spacing w:after="0" w:line="240" w:lineRule="auto"/>
        <w:rPr>
          <w:rStyle w:val="Emphasis"/>
          <w:rFonts w:ascii="Open Sans" w:eastAsiaTheme="majorEastAsia" w:hAnsi="Open Sans" w:cs="Open Sans"/>
          <w:i w:val="0"/>
          <w:iCs w:val="0"/>
          <w:color w:val="20275C"/>
          <w:spacing w:val="-10"/>
          <w:kern w:val="28"/>
        </w:rPr>
      </w:pPr>
      <w:r w:rsidRPr="000671A4">
        <w:rPr>
          <w:rStyle w:val="Emphasis"/>
          <w:rFonts w:ascii="Open Sans" w:eastAsiaTheme="majorEastAsia" w:hAnsi="Open Sans" w:cs="Open Sans"/>
          <w:i w:val="0"/>
          <w:iCs w:val="0"/>
          <w:color w:val="20275C"/>
          <w:spacing w:val="-10"/>
          <w:kern w:val="28"/>
        </w:rPr>
        <w:t xml:space="preserve">Phase two of the </w:t>
      </w:r>
      <w:r>
        <w:rPr>
          <w:rStyle w:val="Emphasis"/>
          <w:rFonts w:ascii="Open Sans" w:eastAsiaTheme="majorEastAsia" w:hAnsi="Open Sans" w:cs="Open Sans"/>
          <w:i w:val="0"/>
          <w:iCs w:val="0"/>
          <w:color w:val="20275C"/>
          <w:spacing w:val="-10"/>
          <w:kern w:val="28"/>
        </w:rPr>
        <w:t>FPS</w:t>
      </w:r>
      <w:r w:rsidRPr="000671A4">
        <w:rPr>
          <w:rStyle w:val="Emphasis"/>
          <w:rFonts w:ascii="Open Sans" w:eastAsiaTheme="majorEastAsia" w:hAnsi="Open Sans" w:cs="Open Sans"/>
          <w:i w:val="0"/>
          <w:iCs w:val="0"/>
          <w:color w:val="20275C"/>
          <w:spacing w:val="-10"/>
          <w:kern w:val="28"/>
        </w:rPr>
        <w:t xml:space="preserve"> will look to introduce General Further Education and Individual Learning Providers to the new purchasing system.</w:t>
      </w:r>
    </w:p>
    <w:p w14:paraId="73FB98D2" w14:textId="77777777" w:rsidR="000671A4" w:rsidRPr="000671A4" w:rsidRDefault="000671A4" w:rsidP="000671A4">
      <w:pPr>
        <w:spacing w:after="0" w:line="240" w:lineRule="auto"/>
        <w:rPr>
          <w:rFonts w:ascii="Open Sans" w:eastAsiaTheme="majorEastAsia" w:hAnsi="Open Sans" w:cs="Open Sans"/>
          <w:color w:val="20275C"/>
          <w:spacing w:val="-10"/>
          <w:kern w:val="28"/>
        </w:rPr>
      </w:pPr>
    </w:p>
    <w:p w14:paraId="40F55B5D" w14:textId="7AA87BFC" w:rsidR="001E3186" w:rsidRPr="001E3186" w:rsidRDefault="00B37806" w:rsidP="000671A4">
      <w:pPr>
        <w:pStyle w:val="Heading1"/>
        <w:rPr>
          <w:rFonts w:ascii="Open Sans" w:hAnsi="Open Sans" w:cs="Open Sans"/>
          <w:color w:val="0099A0"/>
          <w:sz w:val="28"/>
          <w:szCs w:val="28"/>
        </w:rPr>
      </w:pPr>
      <w:r>
        <w:rPr>
          <w:rFonts w:ascii="Open Sans" w:hAnsi="Open Sans" w:cs="Open Sans"/>
          <w:color w:val="0099A0"/>
          <w:sz w:val="28"/>
          <w:szCs w:val="28"/>
        </w:rPr>
        <w:t>Progress so far</w:t>
      </w:r>
    </w:p>
    <w:p w14:paraId="52B49112" w14:textId="77777777" w:rsidR="00B37806" w:rsidRPr="00B37806" w:rsidRDefault="00B37806" w:rsidP="000671A4">
      <w:pPr>
        <w:pStyle w:val="Heading1"/>
        <w:rPr>
          <w:rStyle w:val="Emphasis"/>
          <w:rFonts w:ascii="Open Sans" w:hAnsi="Open Sans" w:cs="Open Sans"/>
          <w:i w:val="0"/>
          <w:iCs w:val="0"/>
          <w:color w:val="20275C"/>
          <w:sz w:val="22"/>
          <w:szCs w:val="22"/>
        </w:rPr>
      </w:pPr>
      <w:r>
        <w:rPr>
          <w:rStyle w:val="Emphasis"/>
          <w:rFonts w:ascii="Open Sans" w:hAnsi="Open Sans" w:cs="Open Sans"/>
          <w:i w:val="0"/>
          <w:iCs w:val="0"/>
          <w:color w:val="20275C"/>
          <w:sz w:val="22"/>
          <w:szCs w:val="22"/>
        </w:rPr>
        <w:t xml:space="preserve">From December </w:t>
      </w:r>
      <w:r w:rsidRPr="00B37806">
        <w:rPr>
          <w:rStyle w:val="Emphasis"/>
          <w:rFonts w:ascii="Open Sans" w:hAnsi="Open Sans" w:cs="Open Sans"/>
          <w:i w:val="0"/>
          <w:iCs w:val="0"/>
          <w:color w:val="20275C"/>
          <w:sz w:val="22"/>
          <w:szCs w:val="22"/>
        </w:rPr>
        <w:t xml:space="preserve">onwards, the North West SEND Working Group has been writing the service specification and the contract. Where possible, feedback from parents, young people, </w:t>
      </w:r>
      <w:proofErr w:type="gramStart"/>
      <w:r w:rsidRPr="00B37806">
        <w:rPr>
          <w:rStyle w:val="Emphasis"/>
          <w:rFonts w:ascii="Open Sans" w:hAnsi="Open Sans" w:cs="Open Sans"/>
          <w:i w:val="0"/>
          <w:iCs w:val="0"/>
          <w:color w:val="20275C"/>
          <w:sz w:val="22"/>
          <w:szCs w:val="22"/>
        </w:rPr>
        <w:t>providers</w:t>
      </w:r>
      <w:proofErr w:type="gramEnd"/>
      <w:r w:rsidRPr="00B37806">
        <w:rPr>
          <w:rStyle w:val="Emphasis"/>
          <w:rFonts w:ascii="Open Sans" w:hAnsi="Open Sans" w:cs="Open Sans"/>
          <w:i w:val="0"/>
          <w:iCs w:val="0"/>
          <w:color w:val="20275C"/>
          <w:sz w:val="22"/>
          <w:szCs w:val="22"/>
        </w:rPr>
        <w:t xml:space="preserve"> and local authorities has been used to inform the contract. </w:t>
      </w:r>
    </w:p>
    <w:p w14:paraId="742E3E8C" w14:textId="77777777" w:rsidR="00B37806" w:rsidRPr="00B37806" w:rsidRDefault="00B37806" w:rsidP="00B37806">
      <w:pPr>
        <w:pStyle w:val="Heading1"/>
        <w:rPr>
          <w:rStyle w:val="Emphasis"/>
          <w:rFonts w:ascii="Open Sans" w:hAnsi="Open Sans" w:cs="Open Sans"/>
          <w:i w:val="0"/>
          <w:iCs w:val="0"/>
          <w:color w:val="20275C"/>
          <w:sz w:val="22"/>
          <w:szCs w:val="22"/>
        </w:rPr>
      </w:pPr>
    </w:p>
    <w:p w14:paraId="2D2266FD"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Three types of service will be included in the purchasing system: -</w:t>
      </w:r>
    </w:p>
    <w:p w14:paraId="1BD5C191"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w:t>
      </w:r>
      <w:r w:rsidRPr="00B37806">
        <w:rPr>
          <w:rStyle w:val="Emphasis"/>
          <w:rFonts w:ascii="Open Sans" w:hAnsi="Open Sans" w:cs="Open Sans"/>
          <w:i w:val="0"/>
          <w:iCs w:val="0"/>
          <w:color w:val="20275C"/>
          <w:sz w:val="22"/>
          <w:szCs w:val="22"/>
        </w:rPr>
        <w:tab/>
        <w:t>Day placements</w:t>
      </w:r>
    </w:p>
    <w:p w14:paraId="726FA05A"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w:t>
      </w:r>
      <w:r w:rsidRPr="00B37806">
        <w:rPr>
          <w:rStyle w:val="Emphasis"/>
          <w:rFonts w:ascii="Open Sans" w:hAnsi="Open Sans" w:cs="Open Sans"/>
          <w:i w:val="0"/>
          <w:iCs w:val="0"/>
          <w:color w:val="20275C"/>
          <w:sz w:val="22"/>
          <w:szCs w:val="22"/>
        </w:rPr>
        <w:tab/>
      </w:r>
      <w:proofErr w:type="gramStart"/>
      <w:r w:rsidRPr="00B37806">
        <w:rPr>
          <w:rStyle w:val="Emphasis"/>
          <w:rFonts w:ascii="Open Sans" w:hAnsi="Open Sans" w:cs="Open Sans"/>
          <w:i w:val="0"/>
          <w:iCs w:val="0"/>
          <w:color w:val="20275C"/>
          <w:sz w:val="22"/>
          <w:szCs w:val="22"/>
        </w:rPr>
        <w:t>38 week</w:t>
      </w:r>
      <w:proofErr w:type="gramEnd"/>
      <w:r w:rsidRPr="00B37806">
        <w:rPr>
          <w:rStyle w:val="Emphasis"/>
          <w:rFonts w:ascii="Open Sans" w:hAnsi="Open Sans" w:cs="Open Sans"/>
          <w:i w:val="0"/>
          <w:iCs w:val="0"/>
          <w:color w:val="20275C"/>
          <w:sz w:val="22"/>
          <w:szCs w:val="22"/>
        </w:rPr>
        <w:t xml:space="preserve"> residential placements</w:t>
      </w:r>
    </w:p>
    <w:p w14:paraId="3F67A43E"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w:t>
      </w:r>
      <w:r w:rsidRPr="00B37806">
        <w:rPr>
          <w:rStyle w:val="Emphasis"/>
          <w:rFonts w:ascii="Open Sans" w:hAnsi="Open Sans" w:cs="Open Sans"/>
          <w:i w:val="0"/>
          <w:iCs w:val="0"/>
          <w:color w:val="20275C"/>
          <w:sz w:val="22"/>
          <w:szCs w:val="22"/>
        </w:rPr>
        <w:tab/>
      </w:r>
      <w:proofErr w:type="gramStart"/>
      <w:r w:rsidRPr="00B37806">
        <w:rPr>
          <w:rStyle w:val="Emphasis"/>
          <w:rFonts w:ascii="Open Sans" w:hAnsi="Open Sans" w:cs="Open Sans"/>
          <w:i w:val="0"/>
          <w:iCs w:val="0"/>
          <w:color w:val="20275C"/>
          <w:sz w:val="22"/>
          <w:szCs w:val="22"/>
        </w:rPr>
        <w:t>52 week</w:t>
      </w:r>
      <w:proofErr w:type="gramEnd"/>
      <w:r w:rsidRPr="00B37806">
        <w:rPr>
          <w:rStyle w:val="Emphasis"/>
          <w:rFonts w:ascii="Open Sans" w:hAnsi="Open Sans" w:cs="Open Sans"/>
          <w:i w:val="0"/>
          <w:iCs w:val="0"/>
          <w:color w:val="20275C"/>
          <w:sz w:val="22"/>
          <w:szCs w:val="22"/>
        </w:rPr>
        <w:t xml:space="preserve"> residential placements</w:t>
      </w:r>
    </w:p>
    <w:p w14:paraId="6E842C41" w14:textId="0614A8A2" w:rsidR="001E318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 xml:space="preserve">Extra services (lots) can be added to the purchasing system in the future to enable innovation. This would be based on feedback on need and demand from commissioners, </w:t>
      </w:r>
      <w:proofErr w:type="gramStart"/>
      <w:r w:rsidRPr="00B37806">
        <w:rPr>
          <w:rStyle w:val="Emphasis"/>
          <w:rFonts w:ascii="Open Sans" w:hAnsi="Open Sans" w:cs="Open Sans"/>
          <w:i w:val="0"/>
          <w:iCs w:val="0"/>
          <w:color w:val="20275C"/>
          <w:sz w:val="22"/>
          <w:szCs w:val="22"/>
        </w:rPr>
        <w:t>parents</w:t>
      </w:r>
      <w:proofErr w:type="gramEnd"/>
      <w:r w:rsidRPr="00B37806">
        <w:rPr>
          <w:rStyle w:val="Emphasis"/>
          <w:rFonts w:ascii="Open Sans" w:hAnsi="Open Sans" w:cs="Open Sans"/>
          <w:i w:val="0"/>
          <w:iCs w:val="0"/>
          <w:color w:val="20275C"/>
          <w:sz w:val="22"/>
          <w:szCs w:val="22"/>
        </w:rPr>
        <w:t xml:space="preserve"> and providers.</w:t>
      </w:r>
    </w:p>
    <w:p w14:paraId="35051F9C" w14:textId="77777777" w:rsidR="001E3186" w:rsidRDefault="001E3186" w:rsidP="001E3186">
      <w:pPr>
        <w:pStyle w:val="Heading1"/>
        <w:rPr>
          <w:rFonts w:ascii="Open Sans" w:hAnsi="Open Sans" w:cs="Open Sans"/>
          <w:color w:val="0099A0"/>
          <w:sz w:val="28"/>
          <w:szCs w:val="28"/>
        </w:rPr>
      </w:pPr>
    </w:p>
    <w:p w14:paraId="5FA2AA02" w14:textId="4DD7555F" w:rsidR="001E3186" w:rsidRPr="001E3186" w:rsidRDefault="00B37806" w:rsidP="001E3186">
      <w:pPr>
        <w:pStyle w:val="Heading1"/>
        <w:rPr>
          <w:rFonts w:ascii="Open Sans" w:hAnsi="Open Sans" w:cs="Open Sans"/>
          <w:color w:val="0099A0"/>
          <w:sz w:val="28"/>
          <w:szCs w:val="28"/>
        </w:rPr>
      </w:pPr>
      <w:r>
        <w:rPr>
          <w:rFonts w:ascii="Open Sans" w:hAnsi="Open Sans" w:cs="Open Sans"/>
          <w:color w:val="0099A0"/>
          <w:sz w:val="28"/>
          <w:szCs w:val="28"/>
        </w:rPr>
        <w:t>Provider engagement</w:t>
      </w:r>
    </w:p>
    <w:p w14:paraId="66004CA7" w14:textId="135EDCB7" w:rsidR="00B37806" w:rsidRPr="00B37806" w:rsidRDefault="00B37806" w:rsidP="00B37806">
      <w:pPr>
        <w:pStyle w:val="Heading1"/>
        <w:rPr>
          <w:rStyle w:val="Emphasis"/>
          <w:rFonts w:ascii="Open Sans" w:hAnsi="Open Sans" w:cs="Open Sans"/>
          <w:i w:val="0"/>
          <w:iCs w:val="0"/>
          <w:color w:val="20275C"/>
          <w:sz w:val="22"/>
          <w:szCs w:val="22"/>
        </w:rPr>
      </w:pPr>
      <w:r>
        <w:rPr>
          <w:rStyle w:val="Emphasis"/>
          <w:rFonts w:ascii="Open Sans" w:hAnsi="Open Sans" w:cs="Open Sans"/>
          <w:i w:val="0"/>
          <w:iCs w:val="0"/>
          <w:color w:val="20275C"/>
          <w:sz w:val="22"/>
          <w:szCs w:val="22"/>
        </w:rPr>
        <w:t>We will be holding</w:t>
      </w:r>
      <w:r w:rsidRPr="00B37806">
        <w:t xml:space="preserve"> </w:t>
      </w:r>
      <w:r w:rsidRPr="00B37806">
        <w:rPr>
          <w:rStyle w:val="Emphasis"/>
          <w:rFonts w:ascii="Open Sans" w:hAnsi="Open Sans" w:cs="Open Sans"/>
          <w:i w:val="0"/>
          <w:iCs w:val="0"/>
          <w:color w:val="20275C"/>
          <w:sz w:val="22"/>
          <w:szCs w:val="22"/>
        </w:rPr>
        <w:t xml:space="preserve">virtual engagement sessions for providers in October 2020 to give you some guidance and support on the tender process, outline the content of the service specification and give you the chance to ask any questions. </w:t>
      </w:r>
    </w:p>
    <w:p w14:paraId="348980C7" w14:textId="77777777" w:rsidR="00B37806" w:rsidRPr="00B37806" w:rsidRDefault="00B37806" w:rsidP="00B37806">
      <w:pPr>
        <w:pStyle w:val="Heading1"/>
        <w:rPr>
          <w:rStyle w:val="Emphasis"/>
          <w:rFonts w:ascii="Open Sans" w:hAnsi="Open Sans" w:cs="Open Sans"/>
          <w:i w:val="0"/>
          <w:iCs w:val="0"/>
          <w:color w:val="20275C"/>
          <w:sz w:val="22"/>
          <w:szCs w:val="22"/>
        </w:rPr>
      </w:pPr>
    </w:p>
    <w:p w14:paraId="3D9A705F" w14:textId="1A1E3188" w:rsidR="001E318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Please look out for a save the date notice which will be circulated shortly.</w:t>
      </w:r>
    </w:p>
    <w:p w14:paraId="723067C3" w14:textId="77777777" w:rsidR="00A96ADB" w:rsidRPr="00A96ADB" w:rsidRDefault="00A96ADB" w:rsidP="00A96ADB"/>
    <w:p w14:paraId="68D5D4A9" w14:textId="1A42ED8F" w:rsidR="001E3186" w:rsidRPr="001E3186" w:rsidRDefault="00B37806" w:rsidP="001E3186">
      <w:pPr>
        <w:pStyle w:val="Heading1"/>
        <w:rPr>
          <w:rFonts w:ascii="Open Sans" w:hAnsi="Open Sans" w:cs="Open Sans"/>
          <w:color w:val="0099A0"/>
          <w:sz w:val="28"/>
          <w:szCs w:val="28"/>
        </w:rPr>
      </w:pPr>
      <w:r>
        <w:rPr>
          <w:rFonts w:ascii="Open Sans" w:hAnsi="Open Sans" w:cs="Open Sans"/>
          <w:color w:val="0099A0"/>
          <w:sz w:val="28"/>
          <w:szCs w:val="28"/>
        </w:rPr>
        <w:lastRenderedPageBreak/>
        <w:t xml:space="preserve">Timescales </w:t>
      </w:r>
    </w:p>
    <w:p w14:paraId="5DA29FC0"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 xml:space="preserve">Due to Covid-19 there have been delays in the project. We had intended for the contract to go out to tender in the spring, so it could be used to support placement finding for September 2020. </w:t>
      </w:r>
    </w:p>
    <w:p w14:paraId="42D77BEA" w14:textId="77777777" w:rsidR="00B37806" w:rsidRPr="00B37806" w:rsidRDefault="00B37806" w:rsidP="00B37806">
      <w:pPr>
        <w:pStyle w:val="Heading1"/>
        <w:rPr>
          <w:rStyle w:val="Emphasis"/>
          <w:rFonts w:ascii="Open Sans" w:hAnsi="Open Sans" w:cs="Open Sans"/>
          <w:i w:val="0"/>
          <w:iCs w:val="0"/>
          <w:color w:val="20275C"/>
          <w:sz w:val="22"/>
          <w:szCs w:val="22"/>
        </w:rPr>
      </w:pPr>
    </w:p>
    <w:p w14:paraId="5FB9A0D0"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 xml:space="preserve">We are now working to the timescales below: </w:t>
      </w:r>
    </w:p>
    <w:p w14:paraId="6F5B3F79"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w:t>
      </w:r>
      <w:r w:rsidRPr="00B37806">
        <w:rPr>
          <w:rStyle w:val="Emphasis"/>
          <w:rFonts w:ascii="Open Sans" w:hAnsi="Open Sans" w:cs="Open Sans"/>
          <w:i w:val="0"/>
          <w:iCs w:val="0"/>
          <w:color w:val="20275C"/>
          <w:sz w:val="22"/>
          <w:szCs w:val="22"/>
        </w:rPr>
        <w:tab/>
        <w:t>September 2020 – October 2020: finalise contract</w:t>
      </w:r>
    </w:p>
    <w:p w14:paraId="1A9F0516" w14:textId="77777777" w:rsidR="00B37806" w:rsidRPr="00B37806" w:rsidRDefault="00B37806" w:rsidP="00B37806">
      <w:pPr>
        <w:pStyle w:val="Heading1"/>
        <w:ind w:left="709" w:hanging="709"/>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w:t>
      </w:r>
      <w:r w:rsidRPr="00B37806">
        <w:rPr>
          <w:rStyle w:val="Emphasis"/>
          <w:rFonts w:ascii="Open Sans" w:hAnsi="Open Sans" w:cs="Open Sans"/>
          <w:i w:val="0"/>
          <w:iCs w:val="0"/>
          <w:color w:val="20275C"/>
          <w:sz w:val="22"/>
          <w:szCs w:val="22"/>
        </w:rPr>
        <w:tab/>
        <w:t>October 2020: training for local authorities on the purchasing system and provider workshops on the tender process</w:t>
      </w:r>
    </w:p>
    <w:p w14:paraId="6192E7D8" w14:textId="77777777" w:rsidR="00B37806" w:rsidRPr="00B3780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w:t>
      </w:r>
      <w:r w:rsidRPr="00B37806">
        <w:rPr>
          <w:rStyle w:val="Emphasis"/>
          <w:rFonts w:ascii="Open Sans" w:hAnsi="Open Sans" w:cs="Open Sans"/>
          <w:i w:val="0"/>
          <w:iCs w:val="0"/>
          <w:color w:val="20275C"/>
          <w:sz w:val="22"/>
          <w:szCs w:val="22"/>
        </w:rPr>
        <w:tab/>
        <w:t>November 2020 – January 2021: tender process</w:t>
      </w:r>
    </w:p>
    <w:p w14:paraId="64B9680B" w14:textId="5BD534EA" w:rsidR="001E3186" w:rsidRDefault="00B37806" w:rsidP="00B3780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w:t>
      </w:r>
      <w:r w:rsidRPr="00B37806">
        <w:rPr>
          <w:rStyle w:val="Emphasis"/>
          <w:rFonts w:ascii="Open Sans" w:hAnsi="Open Sans" w:cs="Open Sans"/>
          <w:i w:val="0"/>
          <w:iCs w:val="0"/>
          <w:color w:val="20275C"/>
          <w:sz w:val="22"/>
          <w:szCs w:val="22"/>
        </w:rPr>
        <w:tab/>
        <w:t>February 2021: contract goes live</w:t>
      </w:r>
    </w:p>
    <w:p w14:paraId="5CE11FA6" w14:textId="77777777" w:rsidR="00B37806" w:rsidRPr="00B37806" w:rsidRDefault="00B37806" w:rsidP="00B37806"/>
    <w:p w14:paraId="632B4FF9" w14:textId="16FBCA9A" w:rsidR="001E3186" w:rsidRPr="001E3186" w:rsidRDefault="00B37806" w:rsidP="001E3186">
      <w:pPr>
        <w:pStyle w:val="Heading1"/>
        <w:rPr>
          <w:rFonts w:ascii="Open Sans" w:hAnsi="Open Sans" w:cs="Open Sans"/>
          <w:color w:val="0099A0"/>
          <w:sz w:val="28"/>
          <w:szCs w:val="28"/>
        </w:rPr>
      </w:pPr>
      <w:r>
        <w:rPr>
          <w:rFonts w:ascii="Open Sans" w:hAnsi="Open Sans" w:cs="Open Sans"/>
          <w:color w:val="0099A0"/>
          <w:sz w:val="28"/>
          <w:szCs w:val="28"/>
        </w:rPr>
        <w:t xml:space="preserve">For more information </w:t>
      </w:r>
    </w:p>
    <w:p w14:paraId="1D6D3C15" w14:textId="3D9FB4F1" w:rsidR="001E3186" w:rsidRPr="001E3186" w:rsidRDefault="00B37806" w:rsidP="001E3186">
      <w:pPr>
        <w:pStyle w:val="Heading1"/>
        <w:rPr>
          <w:rStyle w:val="Emphasis"/>
          <w:rFonts w:ascii="Open Sans" w:hAnsi="Open Sans" w:cs="Open Sans"/>
          <w:i w:val="0"/>
          <w:iCs w:val="0"/>
          <w:color w:val="20275C"/>
          <w:sz w:val="22"/>
          <w:szCs w:val="22"/>
        </w:rPr>
      </w:pPr>
      <w:r w:rsidRPr="00B37806">
        <w:rPr>
          <w:rStyle w:val="Emphasis"/>
          <w:rFonts w:ascii="Open Sans" w:hAnsi="Open Sans" w:cs="Open Sans"/>
          <w:i w:val="0"/>
          <w:iCs w:val="0"/>
          <w:color w:val="20275C"/>
          <w:sz w:val="22"/>
          <w:szCs w:val="22"/>
        </w:rPr>
        <w:t xml:space="preserve">If you would like more information, please contact </w:t>
      </w:r>
      <w:hyperlink r:id="rId11" w:history="1">
        <w:r w:rsidR="001E3186" w:rsidRPr="00B37806">
          <w:rPr>
            <w:rStyle w:val="Emphasis"/>
            <w:rFonts w:ascii="Open Sans" w:hAnsi="Open Sans" w:cs="Open Sans"/>
            <w:b/>
            <w:bCs/>
            <w:i w:val="0"/>
            <w:iCs w:val="0"/>
            <w:color w:val="20275C"/>
            <w:sz w:val="22"/>
            <w:szCs w:val="22"/>
          </w:rPr>
          <w:t>placementsnorthwest@bolton.gov.uk</w:t>
        </w:r>
      </w:hyperlink>
      <w:r w:rsidR="001E3186" w:rsidRPr="001E3186">
        <w:rPr>
          <w:rStyle w:val="Emphasis"/>
          <w:rFonts w:ascii="Open Sans" w:hAnsi="Open Sans" w:cs="Open Sans"/>
          <w:i w:val="0"/>
          <w:iCs w:val="0"/>
          <w:color w:val="20275C"/>
          <w:sz w:val="22"/>
          <w:szCs w:val="22"/>
        </w:rPr>
        <w:t xml:space="preserve"> </w:t>
      </w:r>
    </w:p>
    <w:p w14:paraId="37E8F180" w14:textId="77777777" w:rsidR="001E3186" w:rsidRDefault="001E3186" w:rsidP="001E3186">
      <w:pPr>
        <w:pStyle w:val="Heading1"/>
        <w:rPr>
          <w:rStyle w:val="Emphasis"/>
          <w:rFonts w:ascii="Open Sans" w:hAnsi="Open Sans" w:cs="Open Sans"/>
          <w:color w:val="20275C"/>
          <w:sz w:val="22"/>
          <w:szCs w:val="22"/>
        </w:rPr>
      </w:pPr>
    </w:p>
    <w:p w14:paraId="0099CDD1" w14:textId="77E13196" w:rsidR="00646212" w:rsidRDefault="001E3186" w:rsidP="00882EEA">
      <w:pPr>
        <w:pStyle w:val="Heading1"/>
        <w:rPr>
          <w:rFonts w:ascii="Open Sans" w:hAnsi="Open Sans" w:cs="Open Sans"/>
          <w:color w:val="002060"/>
        </w:rPr>
      </w:pPr>
      <w:r w:rsidRPr="001E3186">
        <w:rPr>
          <w:rStyle w:val="Emphasis"/>
          <w:rFonts w:ascii="Open Sans" w:hAnsi="Open Sans" w:cs="Open Sans"/>
          <w:i w:val="0"/>
          <w:iCs w:val="0"/>
          <w:color w:val="20275C"/>
          <w:sz w:val="22"/>
          <w:szCs w:val="22"/>
        </w:rPr>
        <w:t xml:space="preserve"> </w:t>
      </w:r>
    </w:p>
    <w:sectPr w:rsidR="00646212" w:rsidSect="00E70B9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F5A73" w14:textId="77777777" w:rsidR="0007525F" w:rsidRDefault="0007525F" w:rsidP="00A35009">
      <w:pPr>
        <w:spacing w:after="0" w:line="240" w:lineRule="auto"/>
      </w:pPr>
      <w:r>
        <w:separator/>
      </w:r>
    </w:p>
  </w:endnote>
  <w:endnote w:type="continuationSeparator" w:id="0">
    <w:p w14:paraId="0AA5F5A4" w14:textId="77777777" w:rsidR="0007525F" w:rsidRDefault="0007525F" w:rsidP="00A3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altName w:val="Calibri"/>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591B" w14:textId="77777777" w:rsidR="000E3622" w:rsidRDefault="000E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19515"/>
      <w:docPartObj>
        <w:docPartGallery w:val="Page Numbers (Bottom of Page)"/>
        <w:docPartUnique/>
      </w:docPartObj>
    </w:sdtPr>
    <w:sdtEndPr>
      <w:rPr>
        <w:noProof/>
      </w:rPr>
    </w:sdtEndPr>
    <w:sdtContent>
      <w:p w14:paraId="4EBB76D0" w14:textId="45AF865F" w:rsidR="00E30F2C" w:rsidRDefault="00E30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2432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C2FB" w14:textId="77777777" w:rsidR="000E3622" w:rsidRDefault="000E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2B2E" w14:textId="77777777" w:rsidR="0007525F" w:rsidRDefault="0007525F" w:rsidP="00A35009">
      <w:pPr>
        <w:spacing w:after="0" w:line="240" w:lineRule="auto"/>
      </w:pPr>
      <w:r>
        <w:separator/>
      </w:r>
    </w:p>
  </w:footnote>
  <w:footnote w:type="continuationSeparator" w:id="0">
    <w:p w14:paraId="6124A40A" w14:textId="77777777" w:rsidR="0007525F" w:rsidRDefault="0007525F" w:rsidP="00A3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611F" w14:textId="77777777" w:rsidR="000E3622" w:rsidRDefault="000E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E29F" w14:textId="2CF9F21F" w:rsidR="005314BC" w:rsidRDefault="00070EA9" w:rsidP="00EA4216">
    <w:pPr>
      <w:pStyle w:val="Header"/>
    </w:pPr>
    <w:r w:rsidRPr="00DF56C9">
      <w:rPr>
        <w:noProof/>
        <w:color w:val="20275C"/>
      </w:rPr>
      <w:drawing>
        <wp:anchor distT="0" distB="0" distL="114300" distR="114300" simplePos="0" relativeHeight="251659264"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F5A3" w14:textId="77777777" w:rsidR="000E3622" w:rsidRDefault="000E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41EF"/>
    <w:multiLevelType w:val="hybridMultilevel"/>
    <w:tmpl w:val="6818EE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D947CB"/>
    <w:multiLevelType w:val="hybridMultilevel"/>
    <w:tmpl w:val="0FE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7501662"/>
    <w:multiLevelType w:val="hybridMultilevel"/>
    <w:tmpl w:val="CC2E94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A7072"/>
    <w:multiLevelType w:val="hybridMultilevel"/>
    <w:tmpl w:val="28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671A4"/>
    <w:rsid w:val="00070EA9"/>
    <w:rsid w:val="0007525F"/>
    <w:rsid w:val="00084551"/>
    <w:rsid w:val="000E03E4"/>
    <w:rsid w:val="000E3622"/>
    <w:rsid w:val="00112EDA"/>
    <w:rsid w:val="00131B59"/>
    <w:rsid w:val="00134C71"/>
    <w:rsid w:val="00162E44"/>
    <w:rsid w:val="00181FFE"/>
    <w:rsid w:val="001A4AFB"/>
    <w:rsid w:val="001A5EBF"/>
    <w:rsid w:val="001A7B88"/>
    <w:rsid w:val="001E3186"/>
    <w:rsid w:val="00201273"/>
    <w:rsid w:val="002047B8"/>
    <w:rsid w:val="00207E2A"/>
    <w:rsid w:val="00211EFC"/>
    <w:rsid w:val="002311F6"/>
    <w:rsid w:val="002432C9"/>
    <w:rsid w:val="00243E93"/>
    <w:rsid w:val="002671C2"/>
    <w:rsid w:val="002B579A"/>
    <w:rsid w:val="002E2DA5"/>
    <w:rsid w:val="003B25FB"/>
    <w:rsid w:val="004637DD"/>
    <w:rsid w:val="00474EA6"/>
    <w:rsid w:val="00496A6B"/>
    <w:rsid w:val="004E13F8"/>
    <w:rsid w:val="005314BC"/>
    <w:rsid w:val="00563CC7"/>
    <w:rsid w:val="005744F7"/>
    <w:rsid w:val="005F3AB4"/>
    <w:rsid w:val="00633876"/>
    <w:rsid w:val="00641ACE"/>
    <w:rsid w:val="00646212"/>
    <w:rsid w:val="00647B79"/>
    <w:rsid w:val="006618A6"/>
    <w:rsid w:val="00684F5C"/>
    <w:rsid w:val="007B66EF"/>
    <w:rsid w:val="00815C1F"/>
    <w:rsid w:val="00815D14"/>
    <w:rsid w:val="00835FBA"/>
    <w:rsid w:val="0084235D"/>
    <w:rsid w:val="00865F0D"/>
    <w:rsid w:val="00882EEA"/>
    <w:rsid w:val="00932625"/>
    <w:rsid w:val="0093673A"/>
    <w:rsid w:val="00966E23"/>
    <w:rsid w:val="009D5C01"/>
    <w:rsid w:val="009F3CF4"/>
    <w:rsid w:val="009F79E2"/>
    <w:rsid w:val="00A35009"/>
    <w:rsid w:val="00A96ADB"/>
    <w:rsid w:val="00AB621E"/>
    <w:rsid w:val="00AE4B53"/>
    <w:rsid w:val="00AF17DD"/>
    <w:rsid w:val="00B152A2"/>
    <w:rsid w:val="00B330DF"/>
    <w:rsid w:val="00B37806"/>
    <w:rsid w:val="00B61399"/>
    <w:rsid w:val="00B73954"/>
    <w:rsid w:val="00C17A2E"/>
    <w:rsid w:val="00C24FED"/>
    <w:rsid w:val="00C51702"/>
    <w:rsid w:val="00C74A04"/>
    <w:rsid w:val="00D914E9"/>
    <w:rsid w:val="00DB77CF"/>
    <w:rsid w:val="00DE73EF"/>
    <w:rsid w:val="00E30F2C"/>
    <w:rsid w:val="00E314CE"/>
    <w:rsid w:val="00E70B9B"/>
    <w:rsid w:val="00E77B6A"/>
    <w:rsid w:val="00E828AB"/>
    <w:rsid w:val="00EA4216"/>
    <w:rsid w:val="00EB1C7F"/>
    <w:rsid w:val="00F2448D"/>
    <w:rsid w:val="00F63DC3"/>
    <w:rsid w:val="00F978FE"/>
    <w:rsid w:val="00FA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F862B"/>
  <w15:chartTrackingRefBased/>
  <w15:docId w15:val="{582F339D-1484-45DE-BBC1-D4D1439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3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uiPriority w:val="10"/>
    <w:qFormat/>
    <w:rsid w:val="00496A6B"/>
    <w:pPr>
      <w:spacing w:after="0" w:line="240" w:lineRule="auto"/>
      <w:contextualSpacing/>
      <w:outlineLvl w:val="0"/>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2"/>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 w:id="5158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cementsnorthwest@bolton.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0" ma:contentTypeDescription="Create a new document." ma:contentTypeScope="" ma:versionID="06c9d54418b051976c9324586451b0db">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a7c5f3fbb7519f2c7d9a670bcdee89a6"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2.xml><?xml version="1.0" encoding="utf-8"?>
<ds:datastoreItem xmlns:ds="http://schemas.openxmlformats.org/officeDocument/2006/customXml" ds:itemID="{59B46202-9809-4CB3-A0FA-7778E306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D1EE6C-ABB4-41B6-89BB-43E03937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Hine, Nicola</cp:lastModifiedBy>
  <cp:revision>4</cp:revision>
  <dcterms:created xsi:type="dcterms:W3CDTF">2020-08-24T14:25:00Z</dcterms:created>
  <dcterms:modified xsi:type="dcterms:W3CDTF">2020-08-27T09:54:00Z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