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E6" w:rsidRPr="00087686" w:rsidRDefault="003E0BE6" w:rsidP="00961237">
      <w:pPr>
        <w:jc w:val="center"/>
        <w:rPr>
          <w:b/>
          <w:sz w:val="32"/>
        </w:rPr>
      </w:pPr>
      <w:r w:rsidRPr="00087686">
        <w:rPr>
          <w:b/>
          <w:sz w:val="32"/>
        </w:rPr>
        <w:t xml:space="preserve">Social Value Consultation </w:t>
      </w:r>
    </w:p>
    <w:p w:rsidR="00961237" w:rsidRPr="00087686" w:rsidRDefault="003E0BE6" w:rsidP="00961237">
      <w:pPr>
        <w:jc w:val="center"/>
        <w:rPr>
          <w:b/>
          <w:sz w:val="24"/>
        </w:rPr>
      </w:pPr>
      <w:r w:rsidRPr="00087686">
        <w:rPr>
          <w:b/>
          <w:sz w:val="24"/>
        </w:rPr>
        <w:t>Dynamic Purchasing System for the provision of supported housing, outreach, day opportunities, ISFs and respite for adults with complex needs.</w:t>
      </w:r>
    </w:p>
    <w:p w:rsidR="003E0BE6" w:rsidRPr="003E0BE6" w:rsidRDefault="000076AD" w:rsidP="000076AD">
      <w:pPr>
        <w:jc w:val="both"/>
        <w:rPr>
          <w:sz w:val="24"/>
          <w:szCs w:val="24"/>
        </w:rPr>
      </w:pPr>
      <w:r w:rsidRPr="003E0BE6">
        <w:rPr>
          <w:sz w:val="24"/>
          <w:szCs w:val="24"/>
        </w:rPr>
        <w:t xml:space="preserve">The Social Value Act 2012 requires local authorities, prior to conducting tenders for services, to undertake consultation on how Social Value can be achieved through the provision of the Service. </w:t>
      </w:r>
    </w:p>
    <w:p w:rsidR="000076AD" w:rsidRDefault="000076AD" w:rsidP="000076AD">
      <w:pPr>
        <w:jc w:val="both"/>
        <w:rPr>
          <w:sz w:val="24"/>
          <w:szCs w:val="24"/>
        </w:rPr>
      </w:pPr>
      <w:r w:rsidRPr="003E0BE6">
        <w:rPr>
          <w:sz w:val="24"/>
          <w:szCs w:val="24"/>
        </w:rPr>
        <w:t>The Council has identified the following areas of Social Value that can be obtained through the provision of this service, but is keen to hear from interested parties if they consider the areas identified as appropriate or if there are any views of other areas that can be included.</w:t>
      </w:r>
    </w:p>
    <w:tbl>
      <w:tblPr>
        <w:tblStyle w:val="TableGrid"/>
        <w:tblW w:w="0" w:type="auto"/>
        <w:tblLook w:val="04A0" w:firstRow="1" w:lastRow="0" w:firstColumn="1" w:lastColumn="0" w:noHBand="0" w:noVBand="1"/>
      </w:tblPr>
      <w:tblGrid>
        <w:gridCol w:w="3377"/>
        <w:gridCol w:w="5639"/>
      </w:tblGrid>
      <w:tr w:rsidR="006C06F0" w:rsidRPr="006C06F0" w:rsidTr="00087686">
        <w:trPr>
          <w:trHeight w:val="320"/>
        </w:trPr>
        <w:tc>
          <w:tcPr>
            <w:tcW w:w="3447" w:type="dxa"/>
            <w:hideMark/>
          </w:tcPr>
          <w:p w:rsidR="006C06F0" w:rsidRPr="006C06F0" w:rsidRDefault="006C06F0" w:rsidP="006C06F0">
            <w:pPr>
              <w:jc w:val="both"/>
              <w:rPr>
                <w:b/>
                <w:bCs/>
                <w:sz w:val="24"/>
                <w:szCs w:val="24"/>
              </w:rPr>
            </w:pPr>
            <w:r w:rsidRPr="006C06F0">
              <w:rPr>
                <w:b/>
                <w:bCs/>
                <w:sz w:val="24"/>
                <w:szCs w:val="24"/>
              </w:rPr>
              <w:t xml:space="preserve">WBC Strategy </w:t>
            </w:r>
          </w:p>
        </w:tc>
        <w:tc>
          <w:tcPr>
            <w:tcW w:w="5795" w:type="dxa"/>
            <w:hideMark/>
          </w:tcPr>
          <w:p w:rsidR="006C06F0" w:rsidRPr="006C06F0" w:rsidRDefault="006C06F0" w:rsidP="006C06F0">
            <w:pPr>
              <w:jc w:val="both"/>
              <w:rPr>
                <w:b/>
                <w:bCs/>
                <w:sz w:val="24"/>
                <w:szCs w:val="24"/>
              </w:rPr>
            </w:pPr>
            <w:r w:rsidRPr="006C06F0">
              <w:rPr>
                <w:b/>
                <w:bCs/>
                <w:sz w:val="24"/>
                <w:szCs w:val="24"/>
              </w:rPr>
              <w:t>Social Value through Commissioning</w:t>
            </w:r>
          </w:p>
        </w:tc>
      </w:tr>
      <w:tr w:rsidR="006C06F0" w:rsidRPr="006C06F0" w:rsidTr="00087686">
        <w:trPr>
          <w:trHeight w:val="310"/>
        </w:trPr>
        <w:tc>
          <w:tcPr>
            <w:tcW w:w="3447" w:type="dxa"/>
            <w:vMerge w:val="restart"/>
            <w:hideMark/>
          </w:tcPr>
          <w:p w:rsidR="006C06F0" w:rsidRPr="006C06F0" w:rsidRDefault="006C06F0" w:rsidP="006C06F0">
            <w:pPr>
              <w:jc w:val="both"/>
              <w:rPr>
                <w:b/>
                <w:bCs/>
                <w:sz w:val="24"/>
                <w:szCs w:val="24"/>
              </w:rPr>
            </w:pPr>
            <w:r w:rsidRPr="006C06F0">
              <w:rPr>
                <w:b/>
                <w:bCs/>
                <w:sz w:val="24"/>
                <w:szCs w:val="24"/>
              </w:rPr>
              <w:t>Opportunities for the most vulnerable</w:t>
            </w:r>
          </w:p>
        </w:tc>
        <w:tc>
          <w:tcPr>
            <w:tcW w:w="5795" w:type="dxa"/>
            <w:hideMark/>
          </w:tcPr>
          <w:p w:rsidR="006C06F0" w:rsidRPr="006C06F0" w:rsidRDefault="00087686" w:rsidP="00087686">
            <w:pPr>
              <w:rPr>
                <w:sz w:val="24"/>
                <w:szCs w:val="24"/>
              </w:rPr>
            </w:pPr>
            <w:r w:rsidRPr="003E0BE6">
              <w:rPr>
                <w:sz w:val="24"/>
                <w:szCs w:val="24"/>
              </w:rPr>
              <w:t>Deliver opportunities for employment and training of people with disabilities including, learning difficulties and mental health conditions.</w:t>
            </w:r>
          </w:p>
        </w:tc>
      </w:tr>
      <w:tr w:rsidR="006C06F0" w:rsidRPr="006C06F0" w:rsidTr="00087686">
        <w:trPr>
          <w:trHeight w:val="31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6C06F0">
            <w:pPr>
              <w:jc w:val="both"/>
              <w:rPr>
                <w:sz w:val="24"/>
                <w:szCs w:val="24"/>
              </w:rPr>
            </w:pPr>
            <w:r w:rsidRPr="006C06F0">
              <w:rPr>
                <w:sz w:val="24"/>
                <w:szCs w:val="24"/>
              </w:rPr>
              <w:t>Ethical Care</w:t>
            </w:r>
          </w:p>
        </w:tc>
      </w:tr>
      <w:tr w:rsidR="006C06F0" w:rsidRPr="006C06F0" w:rsidTr="00087686">
        <w:trPr>
          <w:trHeight w:val="32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087686">
            <w:pPr>
              <w:rPr>
                <w:sz w:val="24"/>
                <w:szCs w:val="24"/>
              </w:rPr>
            </w:pPr>
            <w:r w:rsidRPr="006C06F0">
              <w:rPr>
                <w:sz w:val="24"/>
                <w:szCs w:val="24"/>
              </w:rPr>
              <w:t>Training opportunities for young people</w:t>
            </w:r>
            <w:r w:rsidR="00087686">
              <w:rPr>
                <w:sz w:val="24"/>
                <w:szCs w:val="24"/>
              </w:rPr>
              <w:t xml:space="preserve"> including </w:t>
            </w:r>
            <w:r w:rsidR="00087686" w:rsidRPr="003E0BE6">
              <w:rPr>
                <w:sz w:val="24"/>
                <w:szCs w:val="24"/>
              </w:rPr>
              <w:t>Work place schemes for schools and colleges which may aid recruitment.</w:t>
            </w:r>
          </w:p>
        </w:tc>
      </w:tr>
      <w:tr w:rsidR="006C06F0" w:rsidRPr="006C06F0" w:rsidTr="00087686">
        <w:trPr>
          <w:trHeight w:val="310"/>
        </w:trPr>
        <w:tc>
          <w:tcPr>
            <w:tcW w:w="3447" w:type="dxa"/>
            <w:vMerge w:val="restart"/>
            <w:hideMark/>
          </w:tcPr>
          <w:p w:rsidR="006C06F0" w:rsidRPr="006C06F0" w:rsidRDefault="006C06F0" w:rsidP="006C06F0">
            <w:pPr>
              <w:jc w:val="both"/>
              <w:rPr>
                <w:b/>
                <w:bCs/>
                <w:sz w:val="24"/>
                <w:szCs w:val="24"/>
              </w:rPr>
            </w:pPr>
            <w:r w:rsidRPr="006C06F0">
              <w:rPr>
                <w:b/>
                <w:bCs/>
                <w:sz w:val="24"/>
                <w:szCs w:val="24"/>
              </w:rPr>
              <w:t>Grow a strong economy for all</w:t>
            </w:r>
          </w:p>
        </w:tc>
        <w:tc>
          <w:tcPr>
            <w:tcW w:w="5795" w:type="dxa"/>
            <w:hideMark/>
          </w:tcPr>
          <w:p w:rsidR="006C06F0" w:rsidRPr="006C06F0" w:rsidRDefault="00087686" w:rsidP="006C06F0">
            <w:pPr>
              <w:jc w:val="both"/>
              <w:rPr>
                <w:sz w:val="24"/>
                <w:szCs w:val="24"/>
              </w:rPr>
            </w:pPr>
            <w:r w:rsidRPr="003E0BE6">
              <w:rPr>
                <w:sz w:val="24"/>
                <w:szCs w:val="24"/>
              </w:rPr>
              <w:t>Commitment to paying the local living wage to staff employed in the delivery of this contract</w:t>
            </w:r>
          </w:p>
        </w:tc>
      </w:tr>
      <w:tr w:rsidR="006C06F0" w:rsidRPr="006C06F0" w:rsidTr="00087686">
        <w:trPr>
          <w:trHeight w:val="31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6C06F0">
            <w:pPr>
              <w:jc w:val="both"/>
              <w:rPr>
                <w:sz w:val="24"/>
                <w:szCs w:val="24"/>
              </w:rPr>
            </w:pPr>
            <w:r w:rsidRPr="006C06F0">
              <w:rPr>
                <w:sz w:val="24"/>
                <w:szCs w:val="24"/>
              </w:rPr>
              <w:t>Supporting the Local Economy</w:t>
            </w:r>
          </w:p>
        </w:tc>
      </w:tr>
      <w:tr w:rsidR="006C06F0" w:rsidRPr="006C06F0" w:rsidTr="00087686">
        <w:trPr>
          <w:trHeight w:val="31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6C06F0">
            <w:pPr>
              <w:jc w:val="both"/>
              <w:rPr>
                <w:sz w:val="24"/>
                <w:szCs w:val="24"/>
              </w:rPr>
            </w:pPr>
            <w:r w:rsidRPr="006C06F0">
              <w:rPr>
                <w:sz w:val="24"/>
                <w:szCs w:val="24"/>
              </w:rPr>
              <w:t>Supporting small Business’</w:t>
            </w:r>
          </w:p>
        </w:tc>
      </w:tr>
      <w:tr w:rsidR="006C06F0" w:rsidRPr="006C06F0" w:rsidTr="00087686">
        <w:trPr>
          <w:trHeight w:val="32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087686" w:rsidP="00087686">
            <w:pPr>
              <w:rPr>
                <w:sz w:val="24"/>
                <w:szCs w:val="24"/>
              </w:rPr>
            </w:pPr>
            <w:r w:rsidRPr="00087686">
              <w:rPr>
                <w:sz w:val="24"/>
              </w:rPr>
              <w:t>E</w:t>
            </w:r>
            <w:r w:rsidRPr="00087686">
              <w:rPr>
                <w:sz w:val="24"/>
              </w:rPr>
              <w:t>mployment and training opportunities for young people to ensure a skilled workforce for the future</w:t>
            </w:r>
            <w:r>
              <w:rPr>
                <w:sz w:val="24"/>
              </w:rPr>
              <w:t xml:space="preserve">, including </w:t>
            </w:r>
            <w:r w:rsidRPr="003E0BE6">
              <w:rPr>
                <w:sz w:val="24"/>
                <w:szCs w:val="24"/>
              </w:rPr>
              <w:t>Apprenticeship opportunities in the delivery of this contract.</w:t>
            </w:r>
          </w:p>
        </w:tc>
      </w:tr>
      <w:tr w:rsidR="00087686" w:rsidRPr="006C06F0" w:rsidTr="00087686">
        <w:trPr>
          <w:trHeight w:val="310"/>
        </w:trPr>
        <w:tc>
          <w:tcPr>
            <w:tcW w:w="3447" w:type="dxa"/>
            <w:vMerge w:val="restart"/>
            <w:hideMark/>
          </w:tcPr>
          <w:p w:rsidR="00087686" w:rsidRPr="006C06F0" w:rsidRDefault="00087686" w:rsidP="006C06F0">
            <w:pPr>
              <w:jc w:val="both"/>
              <w:rPr>
                <w:b/>
                <w:bCs/>
                <w:sz w:val="24"/>
                <w:szCs w:val="24"/>
              </w:rPr>
            </w:pPr>
            <w:r w:rsidRPr="006C06F0">
              <w:rPr>
                <w:b/>
                <w:bCs/>
                <w:sz w:val="24"/>
                <w:szCs w:val="24"/>
              </w:rPr>
              <w:t>Build strong, active and resilient communities</w:t>
            </w:r>
          </w:p>
        </w:tc>
        <w:tc>
          <w:tcPr>
            <w:tcW w:w="5795" w:type="dxa"/>
            <w:hideMark/>
          </w:tcPr>
          <w:p w:rsidR="00087686" w:rsidRPr="006C06F0" w:rsidRDefault="00087686" w:rsidP="006C06F0">
            <w:pPr>
              <w:jc w:val="both"/>
              <w:rPr>
                <w:sz w:val="24"/>
                <w:szCs w:val="24"/>
              </w:rPr>
            </w:pPr>
            <w:r w:rsidRPr="006C06F0">
              <w:rPr>
                <w:sz w:val="24"/>
                <w:szCs w:val="24"/>
              </w:rPr>
              <w:t>Provision of volunteering and education</w:t>
            </w:r>
          </w:p>
        </w:tc>
      </w:tr>
      <w:tr w:rsidR="00087686" w:rsidRPr="006C06F0" w:rsidTr="00087686">
        <w:trPr>
          <w:trHeight w:val="310"/>
        </w:trPr>
        <w:tc>
          <w:tcPr>
            <w:tcW w:w="3447" w:type="dxa"/>
            <w:vMerge/>
            <w:hideMark/>
          </w:tcPr>
          <w:p w:rsidR="00087686" w:rsidRPr="006C06F0" w:rsidRDefault="00087686" w:rsidP="006C06F0">
            <w:pPr>
              <w:jc w:val="both"/>
              <w:rPr>
                <w:b/>
                <w:bCs/>
                <w:sz w:val="24"/>
                <w:szCs w:val="24"/>
              </w:rPr>
            </w:pPr>
          </w:p>
        </w:tc>
        <w:tc>
          <w:tcPr>
            <w:tcW w:w="5795" w:type="dxa"/>
            <w:hideMark/>
          </w:tcPr>
          <w:p w:rsidR="00087686" w:rsidRPr="006C06F0" w:rsidRDefault="00087686" w:rsidP="006C06F0">
            <w:pPr>
              <w:jc w:val="both"/>
              <w:rPr>
                <w:sz w:val="24"/>
                <w:szCs w:val="24"/>
              </w:rPr>
            </w:pPr>
            <w:r w:rsidRPr="006C06F0">
              <w:rPr>
                <w:sz w:val="24"/>
                <w:szCs w:val="24"/>
              </w:rPr>
              <w:t>Developing the</w:t>
            </w:r>
            <w:r>
              <w:rPr>
                <w:sz w:val="24"/>
                <w:szCs w:val="24"/>
              </w:rPr>
              <w:t xml:space="preserve"> local</w:t>
            </w:r>
            <w:r w:rsidRPr="006C06F0">
              <w:rPr>
                <w:sz w:val="24"/>
                <w:szCs w:val="24"/>
              </w:rPr>
              <w:t xml:space="preserve"> third sector and encouraging volunteering</w:t>
            </w:r>
          </w:p>
        </w:tc>
      </w:tr>
      <w:tr w:rsidR="00087686" w:rsidRPr="006C06F0" w:rsidTr="00087686">
        <w:trPr>
          <w:trHeight w:val="310"/>
        </w:trPr>
        <w:tc>
          <w:tcPr>
            <w:tcW w:w="3447" w:type="dxa"/>
            <w:vMerge/>
            <w:hideMark/>
          </w:tcPr>
          <w:p w:rsidR="00087686" w:rsidRPr="006C06F0" w:rsidRDefault="00087686" w:rsidP="006C06F0">
            <w:pPr>
              <w:jc w:val="both"/>
              <w:rPr>
                <w:b/>
                <w:bCs/>
                <w:sz w:val="24"/>
                <w:szCs w:val="24"/>
              </w:rPr>
            </w:pPr>
          </w:p>
        </w:tc>
        <w:tc>
          <w:tcPr>
            <w:tcW w:w="5795" w:type="dxa"/>
            <w:hideMark/>
          </w:tcPr>
          <w:p w:rsidR="00087686" w:rsidRPr="006C06F0" w:rsidRDefault="00087686" w:rsidP="00087686">
            <w:pPr>
              <w:rPr>
                <w:sz w:val="24"/>
                <w:szCs w:val="24"/>
              </w:rPr>
            </w:pPr>
            <w:r w:rsidRPr="003E0BE6">
              <w:rPr>
                <w:sz w:val="24"/>
                <w:szCs w:val="24"/>
              </w:rPr>
              <w:t>Equality and diversity in the provision and operation of services, including a workforce that is representative of the communities we serve.</w:t>
            </w:r>
          </w:p>
        </w:tc>
      </w:tr>
      <w:tr w:rsidR="00087686" w:rsidRPr="006C06F0" w:rsidTr="00087686">
        <w:trPr>
          <w:trHeight w:val="320"/>
        </w:trPr>
        <w:tc>
          <w:tcPr>
            <w:tcW w:w="3447" w:type="dxa"/>
            <w:vMerge/>
            <w:hideMark/>
          </w:tcPr>
          <w:p w:rsidR="00087686" w:rsidRPr="006C06F0" w:rsidRDefault="00087686" w:rsidP="006C06F0">
            <w:pPr>
              <w:jc w:val="both"/>
              <w:rPr>
                <w:b/>
                <w:bCs/>
                <w:sz w:val="24"/>
                <w:szCs w:val="24"/>
              </w:rPr>
            </w:pPr>
          </w:p>
        </w:tc>
        <w:tc>
          <w:tcPr>
            <w:tcW w:w="5795" w:type="dxa"/>
            <w:hideMark/>
          </w:tcPr>
          <w:p w:rsidR="00087686" w:rsidRPr="006C06F0" w:rsidRDefault="00087686" w:rsidP="00087686">
            <w:pPr>
              <w:rPr>
                <w:sz w:val="24"/>
                <w:szCs w:val="24"/>
              </w:rPr>
            </w:pPr>
            <w:r w:rsidRPr="003E0BE6">
              <w:rPr>
                <w:sz w:val="24"/>
                <w:szCs w:val="24"/>
              </w:rPr>
              <w:t>Promote the safeguarding and welfare of vulnerable adults, young people and children.</w:t>
            </w:r>
          </w:p>
        </w:tc>
      </w:tr>
      <w:tr w:rsidR="00087686" w:rsidRPr="006C06F0" w:rsidTr="00087686">
        <w:trPr>
          <w:trHeight w:val="320"/>
        </w:trPr>
        <w:tc>
          <w:tcPr>
            <w:tcW w:w="3447" w:type="dxa"/>
            <w:vMerge/>
          </w:tcPr>
          <w:p w:rsidR="00087686" w:rsidRPr="006C06F0" w:rsidRDefault="00087686" w:rsidP="006C06F0">
            <w:pPr>
              <w:jc w:val="both"/>
              <w:rPr>
                <w:b/>
                <w:bCs/>
                <w:sz w:val="24"/>
                <w:szCs w:val="24"/>
              </w:rPr>
            </w:pPr>
          </w:p>
        </w:tc>
        <w:tc>
          <w:tcPr>
            <w:tcW w:w="5795" w:type="dxa"/>
          </w:tcPr>
          <w:p w:rsidR="00087686" w:rsidRPr="003E0BE6" w:rsidRDefault="00087686" w:rsidP="00087686">
            <w:pPr>
              <w:rPr>
                <w:sz w:val="24"/>
                <w:szCs w:val="24"/>
              </w:rPr>
            </w:pPr>
            <w:r w:rsidRPr="003E0BE6">
              <w:rPr>
                <w:sz w:val="24"/>
                <w:szCs w:val="24"/>
              </w:rPr>
              <w:t>Service provision</w:t>
            </w:r>
            <w:r>
              <w:rPr>
                <w:sz w:val="24"/>
                <w:szCs w:val="24"/>
              </w:rPr>
              <w:t xml:space="preserve"> that</w:t>
            </w:r>
            <w:r w:rsidRPr="003E0BE6">
              <w:rPr>
                <w:sz w:val="24"/>
                <w:szCs w:val="24"/>
              </w:rPr>
              <w:t xml:space="preserve"> supports the improvement of the health and wellbeing of local residents including employees.</w:t>
            </w:r>
          </w:p>
        </w:tc>
      </w:tr>
      <w:tr w:rsidR="006C06F0" w:rsidRPr="006C06F0" w:rsidTr="00087686">
        <w:trPr>
          <w:trHeight w:val="310"/>
        </w:trPr>
        <w:tc>
          <w:tcPr>
            <w:tcW w:w="3447" w:type="dxa"/>
            <w:vMerge w:val="restart"/>
            <w:hideMark/>
          </w:tcPr>
          <w:p w:rsidR="006C06F0" w:rsidRPr="006C06F0" w:rsidRDefault="006C06F0" w:rsidP="006C06F0">
            <w:pPr>
              <w:jc w:val="both"/>
              <w:rPr>
                <w:b/>
                <w:bCs/>
                <w:sz w:val="24"/>
                <w:szCs w:val="24"/>
              </w:rPr>
            </w:pPr>
            <w:r w:rsidRPr="006C06F0">
              <w:rPr>
                <w:b/>
                <w:bCs/>
                <w:sz w:val="24"/>
                <w:szCs w:val="24"/>
              </w:rPr>
              <w:t>Create a place to be proud of</w:t>
            </w:r>
          </w:p>
        </w:tc>
        <w:tc>
          <w:tcPr>
            <w:tcW w:w="5795" w:type="dxa"/>
            <w:hideMark/>
          </w:tcPr>
          <w:p w:rsidR="006C06F0" w:rsidRPr="006C06F0" w:rsidRDefault="006C06F0" w:rsidP="006C06F0">
            <w:pPr>
              <w:jc w:val="both"/>
              <w:rPr>
                <w:sz w:val="24"/>
                <w:szCs w:val="24"/>
              </w:rPr>
            </w:pPr>
            <w:r w:rsidRPr="006C06F0">
              <w:rPr>
                <w:sz w:val="24"/>
                <w:szCs w:val="24"/>
              </w:rPr>
              <w:t>Minimising Environmental impact</w:t>
            </w:r>
          </w:p>
        </w:tc>
      </w:tr>
      <w:tr w:rsidR="006C06F0" w:rsidRPr="006C06F0" w:rsidTr="00087686">
        <w:trPr>
          <w:trHeight w:val="31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6C06F0">
            <w:pPr>
              <w:jc w:val="both"/>
              <w:rPr>
                <w:sz w:val="24"/>
                <w:szCs w:val="24"/>
              </w:rPr>
            </w:pPr>
            <w:r w:rsidRPr="006C06F0">
              <w:rPr>
                <w:sz w:val="24"/>
                <w:szCs w:val="24"/>
              </w:rPr>
              <w:t>Fair Employment</w:t>
            </w:r>
          </w:p>
        </w:tc>
      </w:tr>
      <w:tr w:rsidR="006C06F0" w:rsidRPr="006C06F0" w:rsidTr="00087686">
        <w:trPr>
          <w:trHeight w:val="320"/>
        </w:trPr>
        <w:tc>
          <w:tcPr>
            <w:tcW w:w="3447" w:type="dxa"/>
            <w:vMerge/>
            <w:hideMark/>
          </w:tcPr>
          <w:p w:rsidR="006C06F0" w:rsidRPr="006C06F0" w:rsidRDefault="006C06F0" w:rsidP="006C06F0">
            <w:pPr>
              <w:jc w:val="both"/>
              <w:rPr>
                <w:b/>
                <w:bCs/>
                <w:sz w:val="24"/>
                <w:szCs w:val="24"/>
              </w:rPr>
            </w:pPr>
          </w:p>
        </w:tc>
        <w:tc>
          <w:tcPr>
            <w:tcW w:w="5795" w:type="dxa"/>
            <w:hideMark/>
          </w:tcPr>
          <w:p w:rsidR="006C06F0" w:rsidRPr="006C06F0" w:rsidRDefault="006C06F0" w:rsidP="006C06F0">
            <w:pPr>
              <w:jc w:val="both"/>
              <w:rPr>
                <w:sz w:val="24"/>
                <w:szCs w:val="24"/>
              </w:rPr>
            </w:pPr>
            <w:r w:rsidRPr="006C06F0">
              <w:rPr>
                <w:sz w:val="24"/>
                <w:szCs w:val="24"/>
              </w:rPr>
              <w:t>Community Engagement</w:t>
            </w:r>
          </w:p>
        </w:tc>
      </w:tr>
    </w:tbl>
    <w:p w:rsidR="000076AD" w:rsidRPr="003E0BE6" w:rsidRDefault="000076AD" w:rsidP="00961237">
      <w:pPr>
        <w:rPr>
          <w:sz w:val="24"/>
          <w:szCs w:val="24"/>
        </w:rPr>
      </w:pPr>
    </w:p>
    <w:p w:rsidR="004A6209" w:rsidRPr="003E0BE6" w:rsidRDefault="004A6209" w:rsidP="00961237">
      <w:pPr>
        <w:rPr>
          <w:sz w:val="24"/>
          <w:szCs w:val="24"/>
        </w:rPr>
      </w:pPr>
      <w:r w:rsidRPr="003E0BE6">
        <w:rPr>
          <w:sz w:val="24"/>
          <w:szCs w:val="24"/>
        </w:rPr>
        <w:t xml:space="preserve">Please </w:t>
      </w:r>
      <w:r w:rsidR="00087686">
        <w:rPr>
          <w:sz w:val="24"/>
          <w:szCs w:val="24"/>
        </w:rPr>
        <w:t xml:space="preserve">email me at </w:t>
      </w:r>
      <w:hyperlink r:id="rId4" w:history="1">
        <w:r w:rsidR="00087686" w:rsidRPr="00395B70">
          <w:rPr>
            <w:rStyle w:val="Hyperlink"/>
            <w:sz w:val="24"/>
            <w:szCs w:val="24"/>
          </w:rPr>
          <w:t>mrhule@warrington.gov.uk</w:t>
        </w:r>
      </w:hyperlink>
      <w:r w:rsidR="00087686">
        <w:rPr>
          <w:sz w:val="24"/>
          <w:szCs w:val="24"/>
        </w:rPr>
        <w:t xml:space="preserve"> </w:t>
      </w:r>
      <w:bookmarkStart w:id="0" w:name="_GoBack"/>
      <w:bookmarkEnd w:id="0"/>
      <w:r w:rsidR="000076AD" w:rsidRPr="003E0BE6">
        <w:rPr>
          <w:sz w:val="24"/>
          <w:szCs w:val="24"/>
        </w:rPr>
        <w:t>if you have any further views or areas which you feel should be considered and included.</w:t>
      </w:r>
    </w:p>
    <w:sectPr w:rsidR="004A6209" w:rsidRPr="003E0BE6" w:rsidSect="006C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37"/>
    <w:rsid w:val="000076AD"/>
    <w:rsid w:val="00087686"/>
    <w:rsid w:val="001B32B7"/>
    <w:rsid w:val="00316970"/>
    <w:rsid w:val="003E0BE6"/>
    <w:rsid w:val="004A6209"/>
    <w:rsid w:val="006C06F0"/>
    <w:rsid w:val="00961237"/>
    <w:rsid w:val="00981361"/>
    <w:rsid w:val="00E2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1B1B9-0176-41C5-9C79-A9DEC124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3E0BE6"/>
    <w:rPr>
      <w:rFonts w:cs="Open Sans"/>
      <w:b/>
      <w:bCs/>
      <w:color w:val="000000"/>
      <w:sz w:val="28"/>
      <w:szCs w:val="28"/>
    </w:rPr>
  </w:style>
  <w:style w:type="table" w:styleId="TableGrid">
    <w:name w:val="Table Grid"/>
    <w:basedOn w:val="TableNormal"/>
    <w:uiPriority w:val="39"/>
    <w:rsid w:val="003E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63">
      <w:bodyDiv w:val="1"/>
      <w:marLeft w:val="0"/>
      <w:marRight w:val="0"/>
      <w:marTop w:val="0"/>
      <w:marBottom w:val="0"/>
      <w:divBdr>
        <w:top w:val="none" w:sz="0" w:space="0" w:color="auto"/>
        <w:left w:val="none" w:sz="0" w:space="0" w:color="auto"/>
        <w:bottom w:val="none" w:sz="0" w:space="0" w:color="auto"/>
        <w:right w:val="none" w:sz="0" w:space="0" w:color="auto"/>
      </w:divBdr>
    </w:div>
    <w:div w:id="9280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hule@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Ashley</dc:creator>
  <cp:keywords/>
  <dc:description/>
  <cp:lastModifiedBy>Rhule, Megan</cp:lastModifiedBy>
  <cp:revision>2</cp:revision>
  <dcterms:created xsi:type="dcterms:W3CDTF">2021-05-14T13:46:00Z</dcterms:created>
  <dcterms:modified xsi:type="dcterms:W3CDTF">2021-05-14T13:46:00Z</dcterms:modified>
</cp:coreProperties>
</file>