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73" w:rsidRPr="002B03B8" w:rsidRDefault="008B4F73" w:rsidP="00354D10">
      <w:pPr>
        <w:spacing w:before="0" w:after="0" w:line="240" w:lineRule="auto"/>
        <w:rPr>
          <w:rFonts w:cs="Arial"/>
          <w:b/>
          <w:color w:val="000000" w:themeColor="text1"/>
          <w:sz w:val="24"/>
          <w:szCs w:val="24"/>
        </w:rPr>
      </w:pPr>
      <w:bookmarkStart w:id="0" w:name="_GoBack"/>
      <w:bookmarkEnd w:id="0"/>
      <w:r w:rsidRPr="002B03B8">
        <w:rPr>
          <w:rFonts w:cs="Arial"/>
          <w:b/>
          <w:color w:val="000000" w:themeColor="text1"/>
          <w:sz w:val="24"/>
          <w:szCs w:val="24"/>
        </w:rPr>
        <w:t>SPECIFICATION OF REQUIREMENTS</w:t>
      </w:r>
    </w:p>
    <w:p w:rsidR="008B4F73" w:rsidRPr="002B03B8" w:rsidRDefault="008B4F73" w:rsidP="00354D10">
      <w:pPr>
        <w:spacing w:before="0" w:after="0" w:line="240" w:lineRule="auto"/>
        <w:rPr>
          <w:rFonts w:cs="Arial"/>
          <w:b/>
          <w:color w:val="000000" w:themeColor="text1"/>
          <w:sz w:val="24"/>
          <w:szCs w:val="24"/>
        </w:rPr>
      </w:pPr>
    </w:p>
    <w:p w:rsidR="008B4F73" w:rsidRDefault="008B4F73" w:rsidP="00354D10">
      <w:pPr>
        <w:tabs>
          <w:tab w:val="left" w:pos="720"/>
        </w:tabs>
        <w:spacing w:before="0" w:after="0" w:line="240" w:lineRule="auto"/>
        <w:rPr>
          <w:rFonts w:cs="Arial"/>
          <w:b/>
          <w:color w:val="000000" w:themeColor="text1"/>
          <w:sz w:val="24"/>
          <w:szCs w:val="24"/>
        </w:rPr>
      </w:pPr>
      <w:r w:rsidRPr="002B03B8">
        <w:rPr>
          <w:rFonts w:cs="Arial"/>
          <w:b/>
          <w:color w:val="000000" w:themeColor="text1"/>
          <w:sz w:val="24"/>
          <w:szCs w:val="24"/>
        </w:rPr>
        <w:t>Introduction</w:t>
      </w:r>
    </w:p>
    <w:p w:rsidR="00C13476" w:rsidRPr="00C13476" w:rsidRDefault="00C13476" w:rsidP="00354D10">
      <w:pPr>
        <w:tabs>
          <w:tab w:val="left" w:pos="720"/>
        </w:tabs>
        <w:spacing w:before="0" w:after="0" w:line="240" w:lineRule="auto"/>
        <w:rPr>
          <w:rFonts w:cs="Arial"/>
          <w:b/>
          <w:color w:val="000000" w:themeColor="text1"/>
          <w:sz w:val="24"/>
          <w:szCs w:val="24"/>
        </w:rPr>
      </w:pPr>
    </w:p>
    <w:p w:rsidR="008B4F73" w:rsidRDefault="008B4F73" w:rsidP="005871EC">
      <w:pPr>
        <w:spacing w:before="0" w:after="0" w:line="240" w:lineRule="auto"/>
        <w:jc w:val="both"/>
        <w:rPr>
          <w:rFonts w:cs="Arial"/>
          <w:sz w:val="24"/>
          <w:szCs w:val="24"/>
        </w:rPr>
      </w:pPr>
      <w:r w:rsidRPr="00DA7961">
        <w:rPr>
          <w:rFonts w:cs="Arial"/>
          <w:sz w:val="24"/>
          <w:szCs w:val="24"/>
        </w:rPr>
        <w:t xml:space="preserve">This section provides details of the Council’s requirements in relation to the </w:t>
      </w:r>
      <w:r>
        <w:rPr>
          <w:rFonts w:cs="Arial"/>
          <w:sz w:val="24"/>
          <w:szCs w:val="24"/>
        </w:rPr>
        <w:t xml:space="preserve">appointment of an Insurance </w:t>
      </w:r>
      <w:r w:rsidR="004E2BC1">
        <w:rPr>
          <w:rFonts w:cs="Arial"/>
          <w:sz w:val="24"/>
          <w:szCs w:val="24"/>
        </w:rPr>
        <w:t xml:space="preserve">Service </w:t>
      </w:r>
      <w:r>
        <w:rPr>
          <w:rFonts w:cs="Arial"/>
          <w:sz w:val="24"/>
          <w:szCs w:val="24"/>
        </w:rPr>
        <w:t>Provider in respect of the Tenants Home Contents Insurance Scheme which is presently administered by the Council</w:t>
      </w:r>
      <w:r w:rsidR="0036139B" w:rsidRPr="0036139B">
        <w:rPr>
          <w:rFonts w:cs="Arial"/>
          <w:sz w:val="24"/>
          <w:szCs w:val="24"/>
        </w:rPr>
        <w:t xml:space="preserve"> </w:t>
      </w:r>
      <w:r w:rsidR="0036139B" w:rsidRPr="00F732A9">
        <w:rPr>
          <w:rFonts w:cs="Arial"/>
          <w:sz w:val="24"/>
          <w:szCs w:val="24"/>
        </w:rPr>
        <w:t xml:space="preserve">through </w:t>
      </w:r>
      <w:r w:rsidR="0036139B">
        <w:rPr>
          <w:rFonts w:cs="Arial"/>
          <w:sz w:val="24"/>
          <w:szCs w:val="24"/>
        </w:rPr>
        <w:t xml:space="preserve">their ALMO partners, </w:t>
      </w:r>
      <w:r w:rsidR="0036139B" w:rsidRPr="00F732A9">
        <w:rPr>
          <w:rFonts w:cs="Arial"/>
          <w:sz w:val="24"/>
          <w:szCs w:val="24"/>
        </w:rPr>
        <w:t>East Kent Housing</w:t>
      </w:r>
      <w:r w:rsidR="0036139B">
        <w:rPr>
          <w:rFonts w:cs="Arial"/>
          <w:sz w:val="24"/>
          <w:szCs w:val="24"/>
        </w:rPr>
        <w:t>.</w:t>
      </w:r>
    </w:p>
    <w:p w:rsidR="008B4F73" w:rsidRDefault="008B4F73" w:rsidP="005871EC">
      <w:pPr>
        <w:spacing w:before="0" w:after="0" w:line="240" w:lineRule="auto"/>
        <w:jc w:val="both"/>
        <w:rPr>
          <w:rFonts w:cs="Arial"/>
          <w:sz w:val="24"/>
          <w:szCs w:val="24"/>
        </w:rPr>
      </w:pPr>
    </w:p>
    <w:p w:rsidR="00F44F3E" w:rsidRPr="00C13476" w:rsidRDefault="00F44F3E" w:rsidP="005871EC">
      <w:pPr>
        <w:spacing w:line="240" w:lineRule="auto"/>
        <w:jc w:val="both"/>
        <w:rPr>
          <w:rFonts w:cs="Arial"/>
          <w:b/>
          <w:sz w:val="24"/>
          <w:szCs w:val="24"/>
        </w:rPr>
      </w:pPr>
      <w:r w:rsidRPr="007A297E">
        <w:rPr>
          <w:rFonts w:cs="Arial"/>
          <w:b/>
          <w:sz w:val="24"/>
          <w:szCs w:val="24"/>
        </w:rPr>
        <w:t>Background</w:t>
      </w:r>
    </w:p>
    <w:p w:rsidR="00354D10" w:rsidRDefault="00F44F3E" w:rsidP="00587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sz w:val="24"/>
          <w:szCs w:val="24"/>
        </w:rPr>
      </w:pPr>
      <w:r>
        <w:rPr>
          <w:rFonts w:cs="Arial"/>
          <w:sz w:val="24"/>
          <w:szCs w:val="24"/>
        </w:rPr>
        <w:t>The council</w:t>
      </w:r>
      <w:r w:rsidRPr="00F732A9">
        <w:rPr>
          <w:rFonts w:cs="Arial"/>
          <w:sz w:val="24"/>
          <w:szCs w:val="24"/>
        </w:rPr>
        <w:t xml:space="preserve"> has operated a tenant’s contents scheme for a number of years and there</w:t>
      </w:r>
      <w:r>
        <w:rPr>
          <w:rFonts w:cs="Arial"/>
          <w:sz w:val="24"/>
          <w:szCs w:val="24"/>
        </w:rPr>
        <w:t xml:space="preserve"> are approximately 3,40</w:t>
      </w:r>
      <w:r w:rsidRPr="00F732A9">
        <w:rPr>
          <w:rFonts w:cs="Arial"/>
          <w:sz w:val="24"/>
          <w:szCs w:val="24"/>
        </w:rPr>
        <w:t xml:space="preserve">0 properties </w:t>
      </w:r>
      <w:r>
        <w:rPr>
          <w:rFonts w:cs="Arial"/>
          <w:sz w:val="24"/>
          <w:szCs w:val="24"/>
        </w:rPr>
        <w:t xml:space="preserve">(that could take advantage of the scheme) within </w:t>
      </w:r>
      <w:r w:rsidRPr="00F732A9">
        <w:rPr>
          <w:rFonts w:cs="Arial"/>
          <w:sz w:val="24"/>
          <w:szCs w:val="24"/>
        </w:rPr>
        <w:t>the council ownership.</w:t>
      </w:r>
      <w:r>
        <w:rPr>
          <w:rFonts w:cs="Arial"/>
          <w:sz w:val="24"/>
          <w:szCs w:val="24"/>
        </w:rPr>
        <w:t xml:space="preserve"> </w:t>
      </w:r>
      <w:r w:rsidR="00561A8B" w:rsidRPr="00561A8B">
        <w:rPr>
          <w:rFonts w:cs="Arial"/>
          <w:sz w:val="24"/>
          <w:szCs w:val="24"/>
        </w:rPr>
        <w:t>The scheme take-up is voluntary for our tenants</w:t>
      </w:r>
      <w:r w:rsidR="00561A8B">
        <w:rPr>
          <w:rFonts w:cs="Arial"/>
          <w:sz w:val="24"/>
          <w:szCs w:val="24"/>
        </w:rPr>
        <w:t xml:space="preserve"> and </w:t>
      </w:r>
      <w:r w:rsidR="00553EB8">
        <w:rPr>
          <w:rFonts w:cs="Arial"/>
          <w:sz w:val="24"/>
          <w:szCs w:val="24"/>
        </w:rPr>
        <w:t>at this stage approximately 13.3</w:t>
      </w:r>
      <w:r>
        <w:rPr>
          <w:rFonts w:cs="Arial"/>
          <w:sz w:val="24"/>
          <w:szCs w:val="24"/>
        </w:rPr>
        <w:t xml:space="preserve">% of tenants take advantage of the scheme. </w:t>
      </w:r>
    </w:p>
    <w:p w:rsidR="00F44F3E" w:rsidRDefault="00F44F3E" w:rsidP="00587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sz w:val="24"/>
          <w:szCs w:val="24"/>
        </w:rPr>
      </w:pPr>
      <w:r>
        <w:rPr>
          <w:rFonts w:cs="Arial"/>
          <w:sz w:val="24"/>
          <w:szCs w:val="24"/>
        </w:rPr>
        <w:t>The council,</w:t>
      </w:r>
      <w:r w:rsidRPr="00F732A9">
        <w:rPr>
          <w:rFonts w:cs="Arial"/>
          <w:sz w:val="24"/>
          <w:szCs w:val="24"/>
        </w:rPr>
        <w:t xml:space="preserve"> through </w:t>
      </w:r>
      <w:r>
        <w:rPr>
          <w:rFonts w:cs="Arial"/>
          <w:sz w:val="24"/>
          <w:szCs w:val="24"/>
        </w:rPr>
        <w:t xml:space="preserve">their ALMO partners, </w:t>
      </w:r>
      <w:r w:rsidRPr="00F732A9">
        <w:rPr>
          <w:rFonts w:cs="Arial"/>
          <w:sz w:val="24"/>
          <w:szCs w:val="24"/>
        </w:rPr>
        <w:t>East Kent Housing</w:t>
      </w:r>
      <w:r>
        <w:rPr>
          <w:rFonts w:cs="Arial"/>
          <w:sz w:val="24"/>
          <w:szCs w:val="24"/>
        </w:rPr>
        <w:t>,</w:t>
      </w:r>
      <w:r w:rsidRPr="00F732A9">
        <w:rPr>
          <w:rFonts w:cs="Arial"/>
          <w:sz w:val="24"/>
          <w:szCs w:val="24"/>
        </w:rPr>
        <w:t xml:space="preserve"> </w:t>
      </w:r>
      <w:r>
        <w:rPr>
          <w:rFonts w:cs="Arial"/>
          <w:sz w:val="24"/>
          <w:szCs w:val="24"/>
        </w:rPr>
        <w:t>under-take the administration of</w:t>
      </w:r>
      <w:r w:rsidRPr="00F732A9">
        <w:rPr>
          <w:rFonts w:cs="Arial"/>
          <w:sz w:val="24"/>
          <w:szCs w:val="24"/>
        </w:rPr>
        <w:t xml:space="preserve"> the scheme</w:t>
      </w:r>
      <w:r>
        <w:rPr>
          <w:rFonts w:cs="Arial"/>
          <w:sz w:val="24"/>
          <w:szCs w:val="24"/>
        </w:rPr>
        <w:t xml:space="preserve"> which involve</w:t>
      </w:r>
      <w:r>
        <w:rPr>
          <w:rFonts w:cs="Arial"/>
          <w:snapToGrid w:val="0"/>
          <w:color w:val="auto"/>
          <w:sz w:val="24"/>
        </w:rPr>
        <w:t>s;</w:t>
      </w:r>
    </w:p>
    <w:p w:rsidR="00F44F3E" w:rsidRPr="00B555B6" w:rsidRDefault="00F44F3E" w:rsidP="00B555B6">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sz w:val="24"/>
          <w:szCs w:val="24"/>
        </w:rPr>
      </w:pPr>
      <w:r w:rsidRPr="00B555B6">
        <w:rPr>
          <w:rFonts w:cs="Arial"/>
          <w:snapToGrid w:val="0"/>
          <w:color w:val="auto"/>
          <w:sz w:val="24"/>
        </w:rPr>
        <w:t>Provision of proposal forms;</w:t>
      </w:r>
    </w:p>
    <w:p w:rsidR="00F44F3E" w:rsidRPr="00B555B6" w:rsidRDefault="00F44F3E" w:rsidP="00B555B6">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sz w:val="24"/>
          <w:szCs w:val="24"/>
        </w:rPr>
      </w:pPr>
      <w:r w:rsidRPr="00B555B6">
        <w:rPr>
          <w:rFonts w:cs="Arial"/>
          <w:snapToGrid w:val="0"/>
          <w:color w:val="auto"/>
          <w:sz w:val="24"/>
        </w:rPr>
        <w:t>Issuing policy documentation to customers;</w:t>
      </w:r>
    </w:p>
    <w:p w:rsidR="00F44F3E" w:rsidRPr="00B555B6" w:rsidRDefault="00F44F3E" w:rsidP="00B555B6">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cs="Arial"/>
          <w:snapToGrid w:val="0"/>
          <w:color w:val="auto"/>
          <w:sz w:val="24"/>
        </w:rPr>
      </w:pPr>
      <w:r w:rsidRPr="00B555B6">
        <w:rPr>
          <w:rFonts w:cs="Arial"/>
          <w:snapToGrid w:val="0"/>
          <w:color w:val="auto"/>
          <w:sz w:val="24"/>
        </w:rPr>
        <w:t>First point of contact for customers in connection with any policy and/or scheme enquiries.</w:t>
      </w:r>
    </w:p>
    <w:p w:rsidR="00060BB2" w:rsidRPr="00C13476" w:rsidRDefault="00060BB2" w:rsidP="00C13476">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snapToGrid w:val="0"/>
          <w:color w:val="auto"/>
          <w:sz w:val="24"/>
        </w:rPr>
      </w:pPr>
      <w:r w:rsidRPr="00B555B6">
        <w:rPr>
          <w:rFonts w:cs="Arial"/>
          <w:snapToGrid w:val="0"/>
          <w:color w:val="auto"/>
          <w:sz w:val="24"/>
        </w:rPr>
        <w:t>Collection of Tenants weekly premium through rent</w:t>
      </w:r>
    </w:p>
    <w:p w:rsidR="00C13476" w:rsidRDefault="00C13476" w:rsidP="00354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cs="Arial"/>
          <w:sz w:val="24"/>
          <w:szCs w:val="24"/>
        </w:rPr>
      </w:pPr>
    </w:p>
    <w:p w:rsidR="00F44F3E" w:rsidRDefault="00354D10" w:rsidP="00C134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cs="Arial"/>
          <w:snapToGrid w:val="0"/>
          <w:color w:val="auto"/>
          <w:sz w:val="24"/>
        </w:rPr>
      </w:pPr>
      <w:proofErr w:type="gramStart"/>
      <w:r>
        <w:rPr>
          <w:rFonts w:cs="Arial"/>
          <w:sz w:val="24"/>
          <w:szCs w:val="24"/>
        </w:rPr>
        <w:t>The council’s commission based on 20%</w:t>
      </w:r>
      <w:r w:rsidR="002A290A">
        <w:rPr>
          <w:rFonts w:cs="Arial"/>
          <w:sz w:val="24"/>
          <w:szCs w:val="24"/>
        </w:rPr>
        <w:t>.</w:t>
      </w:r>
      <w:proofErr w:type="gramEnd"/>
    </w:p>
    <w:p w:rsidR="00C13476" w:rsidRPr="00C13476" w:rsidRDefault="00C13476" w:rsidP="00C134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cs="Arial"/>
          <w:snapToGrid w:val="0"/>
          <w:color w:val="auto"/>
          <w:sz w:val="24"/>
        </w:rPr>
      </w:pPr>
    </w:p>
    <w:p w:rsidR="002B03B8" w:rsidRDefault="00B555B6" w:rsidP="002B03B8">
      <w:pPr>
        <w:spacing w:before="0" w:after="0" w:line="240" w:lineRule="auto"/>
        <w:rPr>
          <w:rFonts w:cs="Arial"/>
          <w:b/>
          <w:bCs/>
          <w:sz w:val="22"/>
          <w:szCs w:val="22"/>
          <w:lang w:eastAsia="en-GB"/>
        </w:rPr>
      </w:pPr>
      <w:r>
        <w:rPr>
          <w:rFonts w:cs="Arial"/>
          <w:sz w:val="24"/>
          <w:szCs w:val="24"/>
        </w:rPr>
        <w:t xml:space="preserve">Detailed below </w:t>
      </w:r>
      <w:r w:rsidR="00561A8B">
        <w:rPr>
          <w:rFonts w:cs="Arial"/>
          <w:sz w:val="24"/>
          <w:szCs w:val="24"/>
        </w:rPr>
        <w:t>are current scheme performance</w:t>
      </w:r>
      <w:r>
        <w:rPr>
          <w:rFonts w:cs="Arial"/>
          <w:sz w:val="24"/>
          <w:szCs w:val="24"/>
        </w:rPr>
        <w:t>s</w:t>
      </w:r>
      <w:r w:rsidR="00561A8B">
        <w:rPr>
          <w:rFonts w:cs="Arial"/>
          <w:sz w:val="24"/>
          <w:szCs w:val="24"/>
        </w:rPr>
        <w:t xml:space="preserve"> </w:t>
      </w:r>
      <w:r w:rsidR="002B03B8">
        <w:rPr>
          <w:rFonts w:cs="Arial"/>
          <w:sz w:val="24"/>
          <w:szCs w:val="24"/>
        </w:rPr>
        <w:t>(</w:t>
      </w:r>
      <w:r w:rsidR="002B03B8" w:rsidRPr="002B03B8">
        <w:rPr>
          <w:rFonts w:cs="Arial"/>
          <w:bCs/>
          <w:sz w:val="24"/>
          <w:szCs w:val="24"/>
          <w:lang w:eastAsia="en-GB"/>
        </w:rPr>
        <w:t>Shepway D C Tenants Insurance Scheme, Claims Data</w:t>
      </w:r>
      <w:r w:rsidR="002B03B8">
        <w:rPr>
          <w:rFonts w:cs="Arial"/>
          <w:b/>
          <w:bCs/>
          <w:sz w:val="22"/>
          <w:szCs w:val="22"/>
          <w:lang w:eastAsia="en-GB"/>
        </w:rPr>
        <w:t>)</w:t>
      </w:r>
    </w:p>
    <w:p w:rsidR="002B03B8" w:rsidRPr="002B03B8" w:rsidRDefault="002B03B8" w:rsidP="002B03B8">
      <w:pPr>
        <w:spacing w:before="0" w:after="0" w:line="240" w:lineRule="auto"/>
        <w:rPr>
          <w:rFonts w:cs="Arial"/>
          <w:b/>
          <w:bCs/>
          <w:sz w:val="22"/>
          <w:szCs w:val="22"/>
          <w:lang w:eastAsia="en-GB"/>
        </w:rPr>
      </w:pPr>
    </w:p>
    <w:p w:rsidR="00F44F3E" w:rsidRPr="002B03B8" w:rsidRDefault="00F44F3E" w:rsidP="00354D10">
      <w:pPr>
        <w:tabs>
          <w:tab w:val="left" w:pos="720"/>
        </w:tabs>
        <w:spacing w:before="0" w:after="0" w:line="240" w:lineRule="auto"/>
        <w:rPr>
          <w:rFonts w:cs="Arial"/>
          <w:b/>
          <w:color w:val="1F497D"/>
          <w:sz w:val="22"/>
          <w:szCs w:val="22"/>
        </w:rPr>
      </w:pPr>
    </w:p>
    <w:tbl>
      <w:tblPr>
        <w:tblW w:w="9507" w:type="dxa"/>
        <w:tblInd w:w="93" w:type="dxa"/>
        <w:tblLook w:val="04A0" w:firstRow="1" w:lastRow="0" w:firstColumn="1" w:lastColumn="0" w:noHBand="0" w:noVBand="1"/>
      </w:tblPr>
      <w:tblGrid>
        <w:gridCol w:w="2345"/>
        <w:gridCol w:w="1332"/>
        <w:gridCol w:w="1318"/>
        <w:gridCol w:w="1352"/>
        <w:gridCol w:w="1332"/>
        <w:gridCol w:w="1834"/>
      </w:tblGrid>
      <w:tr w:rsidR="002D36D2" w:rsidRPr="002B03B8" w:rsidTr="00650791">
        <w:trPr>
          <w:trHeight w:val="318"/>
        </w:trPr>
        <w:tc>
          <w:tcPr>
            <w:tcW w:w="2345" w:type="dxa"/>
            <w:tcBorders>
              <w:top w:val="nil"/>
              <w:left w:val="nil"/>
              <w:bottom w:val="nil"/>
              <w:right w:val="nil"/>
            </w:tcBorders>
            <w:shd w:val="clear" w:color="auto" w:fill="auto"/>
            <w:noWrap/>
            <w:vAlign w:val="bottom"/>
            <w:hideMark/>
          </w:tcPr>
          <w:p w:rsidR="002D36D2" w:rsidRPr="002B03B8" w:rsidRDefault="002D36D2" w:rsidP="002D36D2">
            <w:pPr>
              <w:spacing w:before="0" w:after="0" w:line="240" w:lineRule="auto"/>
              <w:rPr>
                <w:rFonts w:cs="Arial"/>
                <w:sz w:val="22"/>
                <w:szCs w:val="22"/>
                <w:lang w:eastAsia="en-GB"/>
              </w:rPr>
            </w:pPr>
          </w:p>
        </w:tc>
        <w:tc>
          <w:tcPr>
            <w:tcW w:w="1332" w:type="dxa"/>
            <w:tcBorders>
              <w:top w:val="single" w:sz="8" w:space="0" w:color="auto"/>
              <w:left w:val="single" w:sz="8" w:space="0" w:color="auto"/>
              <w:bottom w:val="nil"/>
              <w:right w:val="nil"/>
            </w:tcBorders>
            <w:shd w:val="clear" w:color="auto" w:fill="auto"/>
            <w:noWrap/>
            <w:vAlign w:val="bottom"/>
            <w:hideMark/>
          </w:tcPr>
          <w:p w:rsidR="002D36D2" w:rsidRPr="002B03B8" w:rsidRDefault="002D36D2" w:rsidP="002D36D2">
            <w:pPr>
              <w:spacing w:before="0" w:after="0" w:line="240" w:lineRule="auto"/>
              <w:jc w:val="center"/>
              <w:rPr>
                <w:rFonts w:cs="Arial"/>
                <w:b/>
                <w:bCs/>
                <w:color w:val="auto"/>
                <w:sz w:val="22"/>
                <w:szCs w:val="22"/>
                <w:lang w:eastAsia="en-GB"/>
              </w:rPr>
            </w:pPr>
            <w:r w:rsidRPr="002B03B8">
              <w:rPr>
                <w:rFonts w:cs="Arial"/>
                <w:b/>
                <w:bCs/>
                <w:color w:val="auto"/>
                <w:sz w:val="22"/>
                <w:szCs w:val="22"/>
                <w:lang w:eastAsia="en-GB"/>
              </w:rPr>
              <w:t>2014</w:t>
            </w:r>
          </w:p>
        </w:tc>
        <w:tc>
          <w:tcPr>
            <w:tcW w:w="1312" w:type="dxa"/>
            <w:tcBorders>
              <w:top w:val="single" w:sz="8" w:space="0" w:color="auto"/>
              <w:left w:val="single" w:sz="8" w:space="0" w:color="auto"/>
              <w:bottom w:val="nil"/>
              <w:right w:val="single" w:sz="8" w:space="0" w:color="auto"/>
            </w:tcBorders>
            <w:shd w:val="clear" w:color="auto" w:fill="auto"/>
            <w:noWrap/>
            <w:vAlign w:val="bottom"/>
            <w:hideMark/>
          </w:tcPr>
          <w:p w:rsidR="002D36D2" w:rsidRPr="002B03B8" w:rsidRDefault="002D36D2" w:rsidP="002D36D2">
            <w:pPr>
              <w:spacing w:before="0" w:after="0" w:line="240" w:lineRule="auto"/>
              <w:jc w:val="center"/>
              <w:rPr>
                <w:rFonts w:cs="Arial"/>
                <w:b/>
                <w:bCs/>
                <w:color w:val="auto"/>
                <w:sz w:val="22"/>
                <w:szCs w:val="22"/>
                <w:lang w:eastAsia="en-GB"/>
              </w:rPr>
            </w:pPr>
            <w:r w:rsidRPr="002B03B8">
              <w:rPr>
                <w:rFonts w:cs="Arial"/>
                <w:b/>
                <w:bCs/>
                <w:color w:val="auto"/>
                <w:sz w:val="22"/>
                <w:szCs w:val="22"/>
                <w:lang w:eastAsia="en-GB"/>
              </w:rPr>
              <w:t>2015</w:t>
            </w:r>
          </w:p>
        </w:tc>
        <w:tc>
          <w:tcPr>
            <w:tcW w:w="1352" w:type="dxa"/>
            <w:tcBorders>
              <w:top w:val="single" w:sz="8" w:space="0" w:color="auto"/>
              <w:left w:val="nil"/>
              <w:bottom w:val="nil"/>
              <w:right w:val="nil"/>
            </w:tcBorders>
            <w:shd w:val="clear" w:color="auto" w:fill="auto"/>
            <w:noWrap/>
            <w:vAlign w:val="bottom"/>
            <w:hideMark/>
          </w:tcPr>
          <w:p w:rsidR="002D36D2" w:rsidRPr="002B03B8" w:rsidRDefault="002D36D2" w:rsidP="002D36D2">
            <w:pPr>
              <w:spacing w:before="0" w:after="0" w:line="240" w:lineRule="auto"/>
              <w:jc w:val="center"/>
              <w:rPr>
                <w:rFonts w:cs="Arial"/>
                <w:b/>
                <w:bCs/>
                <w:color w:val="auto"/>
                <w:sz w:val="22"/>
                <w:szCs w:val="22"/>
                <w:lang w:eastAsia="en-GB"/>
              </w:rPr>
            </w:pPr>
            <w:r w:rsidRPr="002B03B8">
              <w:rPr>
                <w:rFonts w:cs="Arial"/>
                <w:b/>
                <w:bCs/>
                <w:color w:val="auto"/>
                <w:sz w:val="22"/>
                <w:szCs w:val="22"/>
                <w:lang w:eastAsia="en-GB"/>
              </w:rPr>
              <w:t>2016</w:t>
            </w:r>
          </w:p>
        </w:tc>
        <w:tc>
          <w:tcPr>
            <w:tcW w:w="1332" w:type="dxa"/>
            <w:tcBorders>
              <w:top w:val="single" w:sz="8" w:space="0" w:color="auto"/>
              <w:left w:val="single" w:sz="8" w:space="0" w:color="auto"/>
              <w:bottom w:val="nil"/>
              <w:right w:val="single" w:sz="8" w:space="0" w:color="auto"/>
            </w:tcBorders>
            <w:shd w:val="clear" w:color="auto" w:fill="auto"/>
            <w:noWrap/>
            <w:vAlign w:val="bottom"/>
            <w:hideMark/>
          </w:tcPr>
          <w:p w:rsidR="002D36D2" w:rsidRPr="002B03B8" w:rsidRDefault="002D36D2" w:rsidP="002D36D2">
            <w:pPr>
              <w:spacing w:before="0" w:after="0" w:line="240" w:lineRule="auto"/>
              <w:jc w:val="center"/>
              <w:rPr>
                <w:rFonts w:cs="Arial"/>
                <w:b/>
                <w:bCs/>
                <w:color w:val="auto"/>
                <w:sz w:val="22"/>
                <w:szCs w:val="22"/>
                <w:lang w:eastAsia="en-GB"/>
              </w:rPr>
            </w:pPr>
            <w:r w:rsidRPr="002B03B8">
              <w:rPr>
                <w:rFonts w:cs="Arial"/>
                <w:b/>
                <w:bCs/>
                <w:color w:val="auto"/>
                <w:sz w:val="22"/>
                <w:szCs w:val="22"/>
                <w:lang w:eastAsia="en-GB"/>
              </w:rPr>
              <w:t>2017</w:t>
            </w:r>
          </w:p>
        </w:tc>
        <w:tc>
          <w:tcPr>
            <w:tcW w:w="1834" w:type="dxa"/>
            <w:tcBorders>
              <w:top w:val="single" w:sz="8" w:space="0" w:color="auto"/>
              <w:left w:val="nil"/>
              <w:bottom w:val="nil"/>
              <w:right w:val="single" w:sz="8" w:space="0" w:color="auto"/>
            </w:tcBorders>
            <w:shd w:val="clear" w:color="auto" w:fill="auto"/>
            <w:noWrap/>
            <w:vAlign w:val="bottom"/>
            <w:hideMark/>
          </w:tcPr>
          <w:p w:rsidR="002D36D2" w:rsidRPr="002B03B8" w:rsidRDefault="002D36D2" w:rsidP="002D36D2">
            <w:pPr>
              <w:spacing w:before="0" w:after="0" w:line="240" w:lineRule="auto"/>
              <w:jc w:val="center"/>
              <w:rPr>
                <w:rFonts w:cs="Arial"/>
                <w:b/>
                <w:bCs/>
                <w:sz w:val="22"/>
                <w:szCs w:val="22"/>
                <w:lang w:eastAsia="en-GB"/>
              </w:rPr>
            </w:pPr>
            <w:r w:rsidRPr="002B03B8">
              <w:rPr>
                <w:rFonts w:cs="Arial"/>
                <w:b/>
                <w:bCs/>
                <w:sz w:val="22"/>
                <w:szCs w:val="22"/>
                <w:lang w:eastAsia="en-GB"/>
              </w:rPr>
              <w:t>Totals</w:t>
            </w:r>
          </w:p>
        </w:tc>
      </w:tr>
      <w:tr w:rsidR="002D36D2" w:rsidRPr="002B03B8" w:rsidTr="002B03B8">
        <w:trPr>
          <w:trHeight w:val="335"/>
        </w:trPr>
        <w:tc>
          <w:tcPr>
            <w:tcW w:w="2345" w:type="dxa"/>
            <w:tcBorders>
              <w:top w:val="nil"/>
              <w:left w:val="single" w:sz="8" w:space="0" w:color="auto"/>
              <w:bottom w:val="single" w:sz="8" w:space="0" w:color="auto"/>
              <w:right w:val="nil"/>
            </w:tcBorders>
            <w:shd w:val="clear" w:color="auto" w:fill="auto"/>
            <w:noWrap/>
            <w:vAlign w:val="bottom"/>
            <w:hideMark/>
          </w:tcPr>
          <w:p w:rsidR="002D36D2" w:rsidRPr="002B03B8" w:rsidRDefault="002D36D2" w:rsidP="002D36D2">
            <w:pPr>
              <w:spacing w:before="0" w:after="0" w:line="240" w:lineRule="auto"/>
              <w:rPr>
                <w:rFonts w:cs="Arial"/>
                <w:sz w:val="22"/>
                <w:szCs w:val="22"/>
                <w:lang w:eastAsia="en-GB"/>
              </w:rPr>
            </w:pPr>
            <w:r w:rsidRPr="002B03B8">
              <w:rPr>
                <w:rFonts w:cs="Arial"/>
                <w:sz w:val="22"/>
                <w:szCs w:val="22"/>
                <w:lang w:eastAsia="en-GB"/>
              </w:rPr>
              <w:t> </w:t>
            </w:r>
          </w:p>
        </w:tc>
        <w:tc>
          <w:tcPr>
            <w:tcW w:w="1332" w:type="dxa"/>
            <w:tcBorders>
              <w:top w:val="nil"/>
              <w:left w:val="single" w:sz="8" w:space="0" w:color="auto"/>
              <w:bottom w:val="single" w:sz="8" w:space="0" w:color="auto"/>
              <w:right w:val="nil"/>
            </w:tcBorders>
            <w:shd w:val="clear" w:color="auto" w:fill="auto"/>
            <w:noWrap/>
            <w:vAlign w:val="bottom"/>
            <w:hideMark/>
          </w:tcPr>
          <w:p w:rsidR="002D36D2" w:rsidRPr="002B03B8" w:rsidRDefault="002D36D2" w:rsidP="002D36D2">
            <w:pPr>
              <w:spacing w:before="0" w:after="0" w:line="240" w:lineRule="auto"/>
              <w:rPr>
                <w:rFonts w:cs="Arial"/>
                <w:sz w:val="22"/>
                <w:szCs w:val="22"/>
                <w:lang w:eastAsia="en-GB"/>
              </w:rPr>
            </w:pPr>
            <w:r w:rsidRPr="002B03B8">
              <w:rPr>
                <w:rFonts w:cs="Arial"/>
                <w:sz w:val="22"/>
                <w:szCs w:val="22"/>
                <w:lang w:eastAsia="en-GB"/>
              </w:rPr>
              <w:t> </w:t>
            </w:r>
          </w:p>
        </w:tc>
        <w:tc>
          <w:tcPr>
            <w:tcW w:w="1312" w:type="dxa"/>
            <w:tcBorders>
              <w:top w:val="nil"/>
              <w:left w:val="single" w:sz="8" w:space="0" w:color="auto"/>
              <w:bottom w:val="single" w:sz="8" w:space="0" w:color="auto"/>
              <w:right w:val="single" w:sz="8" w:space="0" w:color="auto"/>
            </w:tcBorders>
            <w:shd w:val="clear" w:color="auto" w:fill="auto"/>
            <w:noWrap/>
            <w:vAlign w:val="bottom"/>
            <w:hideMark/>
          </w:tcPr>
          <w:p w:rsidR="002D36D2" w:rsidRPr="002B03B8" w:rsidRDefault="002D36D2" w:rsidP="002D36D2">
            <w:pPr>
              <w:spacing w:before="0" w:after="0" w:line="240" w:lineRule="auto"/>
              <w:rPr>
                <w:rFonts w:cs="Arial"/>
                <w:sz w:val="22"/>
                <w:szCs w:val="22"/>
                <w:lang w:eastAsia="en-GB"/>
              </w:rPr>
            </w:pPr>
            <w:r w:rsidRPr="002B03B8">
              <w:rPr>
                <w:rFonts w:cs="Arial"/>
                <w:sz w:val="22"/>
                <w:szCs w:val="22"/>
                <w:lang w:eastAsia="en-GB"/>
              </w:rPr>
              <w:t> </w:t>
            </w:r>
          </w:p>
        </w:tc>
        <w:tc>
          <w:tcPr>
            <w:tcW w:w="1352" w:type="dxa"/>
            <w:tcBorders>
              <w:top w:val="nil"/>
              <w:left w:val="nil"/>
              <w:bottom w:val="single" w:sz="8" w:space="0" w:color="auto"/>
              <w:right w:val="nil"/>
            </w:tcBorders>
            <w:shd w:val="clear" w:color="auto" w:fill="auto"/>
            <w:noWrap/>
            <w:vAlign w:val="bottom"/>
            <w:hideMark/>
          </w:tcPr>
          <w:p w:rsidR="002D36D2" w:rsidRPr="002B03B8" w:rsidRDefault="002D36D2" w:rsidP="002D36D2">
            <w:pPr>
              <w:spacing w:before="0" w:after="0" w:line="240" w:lineRule="auto"/>
              <w:rPr>
                <w:rFonts w:cs="Arial"/>
                <w:sz w:val="22"/>
                <w:szCs w:val="22"/>
                <w:lang w:eastAsia="en-GB"/>
              </w:rPr>
            </w:pPr>
            <w:r w:rsidRPr="002B03B8">
              <w:rPr>
                <w:rFonts w:cs="Arial"/>
                <w:sz w:val="22"/>
                <w:szCs w:val="22"/>
                <w:lang w:eastAsia="en-GB"/>
              </w:rPr>
              <w:t> </w:t>
            </w:r>
          </w:p>
        </w:tc>
        <w:tc>
          <w:tcPr>
            <w:tcW w:w="1332" w:type="dxa"/>
            <w:tcBorders>
              <w:top w:val="nil"/>
              <w:left w:val="single" w:sz="8" w:space="0" w:color="auto"/>
              <w:bottom w:val="single" w:sz="8" w:space="0" w:color="auto"/>
              <w:right w:val="single" w:sz="8" w:space="0" w:color="auto"/>
            </w:tcBorders>
            <w:shd w:val="clear" w:color="000000" w:fill="FFFFFF"/>
            <w:noWrap/>
            <w:vAlign w:val="bottom"/>
            <w:hideMark/>
          </w:tcPr>
          <w:p w:rsidR="002D36D2" w:rsidRPr="002B03B8" w:rsidRDefault="002D36D2" w:rsidP="002D36D2">
            <w:pPr>
              <w:spacing w:before="0" w:after="0" w:line="240" w:lineRule="auto"/>
              <w:jc w:val="center"/>
              <w:rPr>
                <w:rFonts w:cs="Arial"/>
                <w:b/>
                <w:bCs/>
                <w:sz w:val="22"/>
                <w:szCs w:val="22"/>
                <w:lang w:eastAsia="en-GB"/>
              </w:rPr>
            </w:pPr>
            <w:r w:rsidRPr="002B03B8">
              <w:rPr>
                <w:rFonts w:cs="Arial"/>
                <w:b/>
                <w:bCs/>
                <w:sz w:val="22"/>
                <w:szCs w:val="22"/>
                <w:lang w:eastAsia="en-GB"/>
              </w:rPr>
              <w:t>to Oct 2017</w:t>
            </w:r>
          </w:p>
        </w:tc>
        <w:tc>
          <w:tcPr>
            <w:tcW w:w="1834" w:type="dxa"/>
            <w:tcBorders>
              <w:top w:val="nil"/>
              <w:left w:val="nil"/>
              <w:bottom w:val="single" w:sz="8" w:space="0" w:color="auto"/>
              <w:right w:val="single" w:sz="8" w:space="0" w:color="auto"/>
            </w:tcBorders>
            <w:shd w:val="clear" w:color="auto" w:fill="auto"/>
            <w:noWrap/>
            <w:vAlign w:val="bottom"/>
            <w:hideMark/>
          </w:tcPr>
          <w:p w:rsidR="002D36D2" w:rsidRPr="002B03B8" w:rsidRDefault="002D36D2" w:rsidP="002D36D2">
            <w:pPr>
              <w:spacing w:before="0" w:after="0" w:line="240" w:lineRule="auto"/>
              <w:rPr>
                <w:rFonts w:cs="Arial"/>
                <w:b/>
                <w:bCs/>
                <w:sz w:val="22"/>
                <w:szCs w:val="22"/>
                <w:lang w:eastAsia="en-GB"/>
              </w:rPr>
            </w:pPr>
            <w:r w:rsidRPr="002B03B8">
              <w:rPr>
                <w:rFonts w:cs="Arial"/>
                <w:b/>
                <w:bCs/>
                <w:sz w:val="22"/>
                <w:szCs w:val="22"/>
                <w:lang w:eastAsia="en-GB"/>
              </w:rPr>
              <w:t> </w:t>
            </w:r>
          </w:p>
        </w:tc>
      </w:tr>
      <w:tr w:rsidR="00650791" w:rsidRPr="002B03B8" w:rsidTr="002B03B8">
        <w:trPr>
          <w:trHeight w:val="335"/>
        </w:trPr>
        <w:tc>
          <w:tcPr>
            <w:tcW w:w="2345" w:type="dxa"/>
            <w:tcBorders>
              <w:top w:val="single" w:sz="8" w:space="0" w:color="auto"/>
              <w:left w:val="single" w:sz="8" w:space="0" w:color="auto"/>
              <w:bottom w:val="single" w:sz="8" w:space="0" w:color="auto"/>
              <w:right w:val="nil"/>
            </w:tcBorders>
            <w:shd w:val="clear" w:color="000000" w:fill="D9D9D9"/>
            <w:noWrap/>
            <w:vAlign w:val="bottom"/>
            <w:hideMark/>
          </w:tcPr>
          <w:p w:rsidR="00650791" w:rsidRPr="002B03B8" w:rsidRDefault="00650791" w:rsidP="002D36D2">
            <w:pPr>
              <w:spacing w:before="0" w:after="0" w:line="240" w:lineRule="auto"/>
              <w:rPr>
                <w:rFonts w:cs="Arial"/>
                <w:b/>
                <w:bCs/>
                <w:color w:val="auto"/>
                <w:sz w:val="22"/>
                <w:szCs w:val="22"/>
                <w:lang w:eastAsia="en-GB"/>
              </w:rPr>
            </w:pPr>
            <w:r w:rsidRPr="002B03B8">
              <w:rPr>
                <w:rFonts w:cs="Arial"/>
                <w:b/>
                <w:bCs/>
                <w:color w:val="auto"/>
                <w:sz w:val="22"/>
                <w:szCs w:val="22"/>
                <w:lang w:eastAsia="en-GB"/>
              </w:rPr>
              <w:t xml:space="preserve">Net Written Premium </w:t>
            </w:r>
          </w:p>
        </w:tc>
        <w:tc>
          <w:tcPr>
            <w:tcW w:w="1332" w:type="dxa"/>
            <w:tcBorders>
              <w:top w:val="nil"/>
              <w:left w:val="single" w:sz="8" w:space="0" w:color="auto"/>
              <w:bottom w:val="single" w:sz="8" w:space="0" w:color="auto"/>
              <w:right w:val="single" w:sz="8" w:space="0" w:color="auto"/>
            </w:tcBorders>
            <w:shd w:val="clear" w:color="000000" w:fill="D9D9D9"/>
            <w:noWrap/>
            <w:vAlign w:val="bottom"/>
            <w:hideMark/>
          </w:tcPr>
          <w:p w:rsidR="00650791" w:rsidRPr="002B03B8" w:rsidRDefault="00650791">
            <w:pPr>
              <w:jc w:val="right"/>
              <w:rPr>
                <w:rFonts w:cs="Arial"/>
                <w:b/>
                <w:bCs/>
                <w:sz w:val="22"/>
                <w:szCs w:val="22"/>
              </w:rPr>
            </w:pPr>
            <w:r w:rsidRPr="002B03B8">
              <w:rPr>
                <w:rFonts w:cs="Arial"/>
                <w:b/>
                <w:bCs/>
                <w:sz w:val="22"/>
                <w:szCs w:val="22"/>
              </w:rPr>
              <w:t>£17,139.07</w:t>
            </w:r>
          </w:p>
        </w:tc>
        <w:tc>
          <w:tcPr>
            <w:tcW w:w="1312" w:type="dxa"/>
            <w:tcBorders>
              <w:top w:val="nil"/>
              <w:left w:val="nil"/>
              <w:bottom w:val="single" w:sz="8" w:space="0" w:color="auto"/>
              <w:right w:val="nil"/>
            </w:tcBorders>
            <w:shd w:val="clear" w:color="000000" w:fill="D9D9D9"/>
            <w:noWrap/>
            <w:vAlign w:val="bottom"/>
            <w:hideMark/>
          </w:tcPr>
          <w:p w:rsidR="00650791" w:rsidRPr="002B03B8" w:rsidRDefault="00650791">
            <w:pPr>
              <w:jc w:val="right"/>
              <w:rPr>
                <w:rFonts w:cs="Arial"/>
                <w:b/>
                <w:bCs/>
                <w:sz w:val="22"/>
                <w:szCs w:val="22"/>
              </w:rPr>
            </w:pPr>
            <w:r w:rsidRPr="002B03B8">
              <w:rPr>
                <w:rFonts w:cs="Arial"/>
                <w:b/>
                <w:bCs/>
                <w:sz w:val="22"/>
                <w:szCs w:val="22"/>
              </w:rPr>
              <w:t>£20,664.25</w:t>
            </w:r>
          </w:p>
        </w:tc>
        <w:tc>
          <w:tcPr>
            <w:tcW w:w="1352" w:type="dxa"/>
            <w:tcBorders>
              <w:top w:val="nil"/>
              <w:left w:val="single" w:sz="8" w:space="0" w:color="auto"/>
              <w:bottom w:val="single" w:sz="8" w:space="0" w:color="auto"/>
              <w:right w:val="single" w:sz="8" w:space="0" w:color="auto"/>
            </w:tcBorders>
            <w:shd w:val="clear" w:color="000000" w:fill="D9D9D9"/>
            <w:noWrap/>
            <w:vAlign w:val="bottom"/>
            <w:hideMark/>
          </w:tcPr>
          <w:p w:rsidR="00650791" w:rsidRPr="002B03B8" w:rsidRDefault="00650791">
            <w:pPr>
              <w:jc w:val="right"/>
              <w:rPr>
                <w:rFonts w:cs="Arial"/>
                <w:b/>
                <w:bCs/>
                <w:sz w:val="22"/>
                <w:szCs w:val="22"/>
              </w:rPr>
            </w:pPr>
            <w:r w:rsidRPr="002B03B8">
              <w:rPr>
                <w:rFonts w:cs="Arial"/>
                <w:b/>
                <w:bCs/>
                <w:sz w:val="22"/>
                <w:szCs w:val="22"/>
              </w:rPr>
              <w:t>£21,503.06</w:t>
            </w:r>
          </w:p>
        </w:tc>
        <w:tc>
          <w:tcPr>
            <w:tcW w:w="1332" w:type="dxa"/>
            <w:tcBorders>
              <w:top w:val="nil"/>
              <w:left w:val="nil"/>
              <w:bottom w:val="single" w:sz="8" w:space="0" w:color="auto"/>
              <w:right w:val="single" w:sz="8" w:space="0" w:color="auto"/>
            </w:tcBorders>
            <w:shd w:val="clear" w:color="000000" w:fill="D9D9D9"/>
            <w:noWrap/>
            <w:vAlign w:val="bottom"/>
            <w:hideMark/>
          </w:tcPr>
          <w:p w:rsidR="00650791" w:rsidRPr="002B03B8" w:rsidRDefault="00650791">
            <w:pPr>
              <w:jc w:val="right"/>
              <w:rPr>
                <w:rFonts w:cs="Arial"/>
                <w:b/>
                <w:bCs/>
                <w:sz w:val="22"/>
                <w:szCs w:val="22"/>
              </w:rPr>
            </w:pPr>
            <w:r w:rsidRPr="002B03B8">
              <w:rPr>
                <w:rFonts w:cs="Arial"/>
                <w:b/>
                <w:bCs/>
                <w:sz w:val="22"/>
                <w:szCs w:val="22"/>
              </w:rPr>
              <w:t>£13,348.58</w:t>
            </w:r>
          </w:p>
        </w:tc>
        <w:tc>
          <w:tcPr>
            <w:tcW w:w="1834" w:type="dxa"/>
            <w:tcBorders>
              <w:top w:val="nil"/>
              <w:left w:val="nil"/>
              <w:bottom w:val="single" w:sz="8" w:space="0" w:color="auto"/>
              <w:right w:val="single" w:sz="8" w:space="0" w:color="auto"/>
            </w:tcBorders>
            <w:shd w:val="clear" w:color="000000" w:fill="D9D9D9"/>
            <w:noWrap/>
            <w:vAlign w:val="bottom"/>
            <w:hideMark/>
          </w:tcPr>
          <w:p w:rsidR="00650791" w:rsidRPr="002B03B8" w:rsidRDefault="00650791" w:rsidP="00650791">
            <w:pPr>
              <w:rPr>
                <w:rFonts w:cs="Arial"/>
                <w:b/>
                <w:bCs/>
                <w:sz w:val="22"/>
                <w:szCs w:val="22"/>
              </w:rPr>
            </w:pPr>
            <w:r w:rsidRPr="002B03B8">
              <w:rPr>
                <w:rFonts w:cs="Arial"/>
                <w:b/>
                <w:bCs/>
                <w:sz w:val="22"/>
                <w:szCs w:val="22"/>
              </w:rPr>
              <w:t>£72,654.96</w:t>
            </w:r>
          </w:p>
        </w:tc>
      </w:tr>
      <w:tr w:rsidR="002D36D2" w:rsidRPr="002B03B8" w:rsidTr="00650791">
        <w:trPr>
          <w:trHeight w:val="335"/>
        </w:trPr>
        <w:tc>
          <w:tcPr>
            <w:tcW w:w="2345" w:type="dxa"/>
            <w:tcBorders>
              <w:top w:val="nil"/>
              <w:left w:val="single" w:sz="8" w:space="0" w:color="auto"/>
              <w:bottom w:val="nil"/>
              <w:right w:val="nil"/>
            </w:tcBorders>
            <w:shd w:val="clear" w:color="auto" w:fill="auto"/>
            <w:noWrap/>
            <w:vAlign w:val="bottom"/>
            <w:hideMark/>
          </w:tcPr>
          <w:p w:rsidR="002D36D2" w:rsidRPr="002B03B8" w:rsidRDefault="002D36D2" w:rsidP="002D36D2">
            <w:pPr>
              <w:spacing w:before="0" w:after="0" w:line="240" w:lineRule="auto"/>
              <w:rPr>
                <w:rFonts w:cs="Arial"/>
                <w:b/>
                <w:bCs/>
                <w:color w:val="auto"/>
                <w:sz w:val="22"/>
                <w:szCs w:val="22"/>
                <w:lang w:eastAsia="en-GB"/>
              </w:rPr>
            </w:pPr>
            <w:r w:rsidRPr="002B03B8">
              <w:rPr>
                <w:rFonts w:cs="Arial"/>
                <w:b/>
                <w:bCs/>
                <w:color w:val="auto"/>
                <w:sz w:val="22"/>
                <w:szCs w:val="22"/>
                <w:lang w:eastAsia="en-GB"/>
              </w:rPr>
              <w:t> </w:t>
            </w:r>
          </w:p>
        </w:tc>
        <w:tc>
          <w:tcPr>
            <w:tcW w:w="1332" w:type="dxa"/>
            <w:tcBorders>
              <w:top w:val="nil"/>
              <w:left w:val="single" w:sz="8" w:space="0" w:color="auto"/>
              <w:bottom w:val="nil"/>
              <w:right w:val="single" w:sz="8" w:space="0" w:color="auto"/>
            </w:tcBorders>
            <w:shd w:val="clear" w:color="auto" w:fill="auto"/>
            <w:noWrap/>
            <w:vAlign w:val="bottom"/>
            <w:hideMark/>
          </w:tcPr>
          <w:p w:rsidR="002D36D2" w:rsidRPr="002B03B8" w:rsidRDefault="002D36D2" w:rsidP="002D36D2">
            <w:pPr>
              <w:spacing w:before="0" w:after="0" w:line="240" w:lineRule="auto"/>
              <w:rPr>
                <w:rFonts w:cs="Arial"/>
                <w:color w:val="auto"/>
                <w:sz w:val="22"/>
                <w:szCs w:val="22"/>
                <w:lang w:eastAsia="en-GB"/>
              </w:rPr>
            </w:pPr>
            <w:r w:rsidRPr="002B03B8">
              <w:rPr>
                <w:rFonts w:cs="Arial"/>
                <w:color w:val="auto"/>
                <w:sz w:val="22"/>
                <w:szCs w:val="22"/>
                <w:lang w:eastAsia="en-GB"/>
              </w:rPr>
              <w:t> </w:t>
            </w:r>
          </w:p>
        </w:tc>
        <w:tc>
          <w:tcPr>
            <w:tcW w:w="1312" w:type="dxa"/>
            <w:tcBorders>
              <w:top w:val="nil"/>
              <w:left w:val="nil"/>
              <w:bottom w:val="nil"/>
              <w:right w:val="nil"/>
            </w:tcBorders>
            <w:shd w:val="clear" w:color="auto" w:fill="auto"/>
            <w:noWrap/>
            <w:vAlign w:val="bottom"/>
            <w:hideMark/>
          </w:tcPr>
          <w:p w:rsidR="002D36D2" w:rsidRPr="002B03B8" w:rsidRDefault="002D36D2" w:rsidP="002D36D2">
            <w:pPr>
              <w:spacing w:before="0" w:after="0" w:line="240" w:lineRule="auto"/>
              <w:rPr>
                <w:rFonts w:cs="Arial"/>
                <w:color w:val="auto"/>
                <w:sz w:val="22"/>
                <w:szCs w:val="22"/>
                <w:lang w:eastAsia="en-GB"/>
              </w:rPr>
            </w:pPr>
          </w:p>
        </w:tc>
        <w:tc>
          <w:tcPr>
            <w:tcW w:w="1352" w:type="dxa"/>
            <w:tcBorders>
              <w:top w:val="nil"/>
              <w:left w:val="single" w:sz="8" w:space="0" w:color="auto"/>
              <w:bottom w:val="nil"/>
              <w:right w:val="single" w:sz="8" w:space="0" w:color="auto"/>
            </w:tcBorders>
            <w:shd w:val="clear" w:color="auto" w:fill="auto"/>
            <w:noWrap/>
            <w:vAlign w:val="bottom"/>
            <w:hideMark/>
          </w:tcPr>
          <w:p w:rsidR="002D36D2" w:rsidRPr="002B03B8" w:rsidRDefault="002D36D2" w:rsidP="002D36D2">
            <w:pPr>
              <w:spacing w:before="0" w:after="0" w:line="240" w:lineRule="auto"/>
              <w:rPr>
                <w:rFonts w:cs="Arial"/>
                <w:color w:val="auto"/>
                <w:sz w:val="22"/>
                <w:szCs w:val="22"/>
                <w:lang w:eastAsia="en-GB"/>
              </w:rPr>
            </w:pPr>
            <w:r w:rsidRPr="002B03B8">
              <w:rPr>
                <w:rFonts w:cs="Arial"/>
                <w:color w:val="auto"/>
                <w:sz w:val="22"/>
                <w:szCs w:val="22"/>
                <w:lang w:eastAsia="en-GB"/>
              </w:rPr>
              <w:t> </w:t>
            </w:r>
          </w:p>
        </w:tc>
        <w:tc>
          <w:tcPr>
            <w:tcW w:w="1332" w:type="dxa"/>
            <w:tcBorders>
              <w:top w:val="nil"/>
              <w:left w:val="nil"/>
              <w:bottom w:val="nil"/>
              <w:right w:val="single" w:sz="8" w:space="0" w:color="auto"/>
            </w:tcBorders>
            <w:shd w:val="clear" w:color="auto" w:fill="auto"/>
            <w:noWrap/>
            <w:vAlign w:val="bottom"/>
            <w:hideMark/>
          </w:tcPr>
          <w:p w:rsidR="002D36D2" w:rsidRPr="002B03B8" w:rsidRDefault="002D36D2" w:rsidP="002D36D2">
            <w:pPr>
              <w:spacing w:before="0" w:after="0" w:line="240" w:lineRule="auto"/>
              <w:rPr>
                <w:rFonts w:cs="Arial"/>
                <w:color w:val="auto"/>
                <w:sz w:val="22"/>
                <w:szCs w:val="22"/>
                <w:lang w:eastAsia="en-GB"/>
              </w:rPr>
            </w:pPr>
            <w:r w:rsidRPr="002B03B8">
              <w:rPr>
                <w:rFonts w:cs="Arial"/>
                <w:color w:val="auto"/>
                <w:sz w:val="22"/>
                <w:szCs w:val="22"/>
                <w:lang w:eastAsia="en-GB"/>
              </w:rPr>
              <w:t> </w:t>
            </w:r>
          </w:p>
        </w:tc>
        <w:tc>
          <w:tcPr>
            <w:tcW w:w="1834" w:type="dxa"/>
            <w:tcBorders>
              <w:top w:val="nil"/>
              <w:left w:val="nil"/>
              <w:bottom w:val="nil"/>
              <w:right w:val="single" w:sz="8" w:space="0" w:color="auto"/>
            </w:tcBorders>
            <w:shd w:val="clear" w:color="auto" w:fill="auto"/>
            <w:noWrap/>
            <w:vAlign w:val="bottom"/>
            <w:hideMark/>
          </w:tcPr>
          <w:p w:rsidR="002D36D2" w:rsidRPr="002B03B8" w:rsidRDefault="002D36D2" w:rsidP="002D36D2">
            <w:pPr>
              <w:spacing w:before="0" w:after="0" w:line="240" w:lineRule="auto"/>
              <w:rPr>
                <w:rFonts w:cs="Arial"/>
                <w:b/>
                <w:bCs/>
                <w:sz w:val="22"/>
                <w:szCs w:val="22"/>
                <w:lang w:eastAsia="en-GB"/>
              </w:rPr>
            </w:pPr>
            <w:r w:rsidRPr="002B03B8">
              <w:rPr>
                <w:rFonts w:cs="Arial"/>
                <w:b/>
                <w:bCs/>
                <w:sz w:val="22"/>
                <w:szCs w:val="22"/>
                <w:lang w:eastAsia="en-GB"/>
              </w:rPr>
              <w:t> </w:t>
            </w:r>
          </w:p>
        </w:tc>
      </w:tr>
      <w:tr w:rsidR="002D36D2" w:rsidRPr="002B03B8" w:rsidTr="00650791">
        <w:trPr>
          <w:trHeight w:val="381"/>
        </w:trPr>
        <w:tc>
          <w:tcPr>
            <w:tcW w:w="2345" w:type="dxa"/>
            <w:tcBorders>
              <w:top w:val="single" w:sz="8" w:space="0" w:color="auto"/>
              <w:left w:val="single" w:sz="8" w:space="0" w:color="auto"/>
              <w:bottom w:val="nil"/>
              <w:right w:val="nil"/>
            </w:tcBorders>
            <w:shd w:val="clear" w:color="000000" w:fill="D9D9D9"/>
            <w:noWrap/>
            <w:vAlign w:val="bottom"/>
            <w:hideMark/>
          </w:tcPr>
          <w:p w:rsidR="002D36D2" w:rsidRPr="002B03B8" w:rsidRDefault="002D36D2" w:rsidP="002D36D2">
            <w:pPr>
              <w:spacing w:before="0" w:after="0" w:line="240" w:lineRule="auto"/>
              <w:rPr>
                <w:rFonts w:cs="Arial"/>
                <w:b/>
                <w:bCs/>
                <w:color w:val="auto"/>
                <w:sz w:val="22"/>
                <w:szCs w:val="22"/>
                <w:lang w:eastAsia="en-GB"/>
              </w:rPr>
            </w:pPr>
            <w:r w:rsidRPr="002B03B8">
              <w:rPr>
                <w:rFonts w:cs="Arial"/>
                <w:b/>
                <w:bCs/>
                <w:color w:val="auto"/>
                <w:sz w:val="22"/>
                <w:szCs w:val="22"/>
                <w:lang w:eastAsia="en-GB"/>
              </w:rPr>
              <w:t>Incurred Claims</w:t>
            </w:r>
          </w:p>
        </w:tc>
        <w:tc>
          <w:tcPr>
            <w:tcW w:w="1332" w:type="dxa"/>
            <w:tcBorders>
              <w:top w:val="single" w:sz="8" w:space="0" w:color="auto"/>
              <w:left w:val="single" w:sz="8" w:space="0" w:color="auto"/>
              <w:bottom w:val="nil"/>
              <w:right w:val="single" w:sz="8" w:space="0" w:color="auto"/>
            </w:tcBorders>
            <w:shd w:val="clear" w:color="000000" w:fill="D9D9D9"/>
            <w:noWrap/>
            <w:vAlign w:val="bottom"/>
            <w:hideMark/>
          </w:tcPr>
          <w:p w:rsidR="002D36D2" w:rsidRPr="002B03B8" w:rsidRDefault="00650791" w:rsidP="002D36D2">
            <w:pPr>
              <w:spacing w:before="0" w:after="0" w:line="240" w:lineRule="auto"/>
              <w:rPr>
                <w:rFonts w:cs="Arial"/>
                <w:b/>
                <w:bCs/>
                <w:color w:val="auto"/>
                <w:sz w:val="22"/>
                <w:szCs w:val="22"/>
                <w:lang w:eastAsia="en-GB"/>
              </w:rPr>
            </w:pPr>
            <w:r w:rsidRPr="002B03B8">
              <w:rPr>
                <w:rFonts w:cs="Arial"/>
                <w:b/>
                <w:bCs/>
                <w:color w:val="auto"/>
                <w:sz w:val="22"/>
                <w:szCs w:val="22"/>
                <w:lang w:eastAsia="en-GB"/>
              </w:rPr>
              <w:t xml:space="preserve">  £</w:t>
            </w:r>
            <w:r w:rsidR="002D36D2" w:rsidRPr="002B03B8">
              <w:rPr>
                <w:rFonts w:cs="Arial"/>
                <w:b/>
                <w:bCs/>
                <w:color w:val="auto"/>
                <w:sz w:val="22"/>
                <w:szCs w:val="22"/>
                <w:lang w:eastAsia="en-GB"/>
              </w:rPr>
              <w:t xml:space="preserve">46,826.00 </w:t>
            </w:r>
          </w:p>
        </w:tc>
        <w:tc>
          <w:tcPr>
            <w:tcW w:w="1312" w:type="dxa"/>
            <w:tcBorders>
              <w:top w:val="single" w:sz="8" w:space="0" w:color="auto"/>
              <w:left w:val="nil"/>
              <w:bottom w:val="nil"/>
              <w:right w:val="nil"/>
            </w:tcBorders>
            <w:shd w:val="clear" w:color="000000" w:fill="D9D9D9"/>
            <w:noWrap/>
            <w:vAlign w:val="bottom"/>
            <w:hideMark/>
          </w:tcPr>
          <w:p w:rsidR="002D36D2" w:rsidRPr="002B03B8" w:rsidRDefault="00650791" w:rsidP="002D36D2">
            <w:pPr>
              <w:spacing w:before="0" w:after="0" w:line="240" w:lineRule="auto"/>
              <w:rPr>
                <w:rFonts w:cs="Arial"/>
                <w:b/>
                <w:bCs/>
                <w:color w:val="auto"/>
                <w:sz w:val="22"/>
                <w:szCs w:val="22"/>
                <w:lang w:eastAsia="en-GB"/>
              </w:rPr>
            </w:pPr>
            <w:r w:rsidRPr="002B03B8">
              <w:rPr>
                <w:rFonts w:cs="Arial"/>
                <w:b/>
                <w:bCs/>
                <w:color w:val="auto"/>
                <w:sz w:val="22"/>
                <w:szCs w:val="22"/>
                <w:lang w:eastAsia="en-GB"/>
              </w:rPr>
              <w:t xml:space="preserve"> </w:t>
            </w:r>
            <w:r w:rsidR="002D36D2" w:rsidRPr="002B03B8">
              <w:rPr>
                <w:rFonts w:cs="Arial"/>
                <w:b/>
                <w:bCs/>
                <w:color w:val="auto"/>
                <w:sz w:val="22"/>
                <w:szCs w:val="22"/>
                <w:lang w:eastAsia="en-GB"/>
              </w:rPr>
              <w:t xml:space="preserve"> </w:t>
            </w:r>
            <w:r w:rsidRPr="002B03B8">
              <w:rPr>
                <w:rFonts w:cs="Arial"/>
                <w:b/>
                <w:bCs/>
                <w:color w:val="auto"/>
                <w:sz w:val="22"/>
                <w:szCs w:val="22"/>
                <w:lang w:eastAsia="en-GB"/>
              </w:rPr>
              <w:t>£</w:t>
            </w:r>
            <w:r w:rsidR="002D36D2" w:rsidRPr="002B03B8">
              <w:rPr>
                <w:rFonts w:cs="Arial"/>
                <w:b/>
                <w:bCs/>
                <w:color w:val="auto"/>
                <w:sz w:val="22"/>
                <w:szCs w:val="22"/>
                <w:lang w:eastAsia="en-GB"/>
              </w:rPr>
              <w:t xml:space="preserve">32,740.57 </w:t>
            </w:r>
          </w:p>
        </w:tc>
        <w:tc>
          <w:tcPr>
            <w:tcW w:w="1352" w:type="dxa"/>
            <w:tcBorders>
              <w:top w:val="single" w:sz="8" w:space="0" w:color="auto"/>
              <w:left w:val="single" w:sz="8" w:space="0" w:color="auto"/>
              <w:bottom w:val="nil"/>
              <w:right w:val="single" w:sz="8" w:space="0" w:color="auto"/>
            </w:tcBorders>
            <w:shd w:val="clear" w:color="000000" w:fill="D9D9D9"/>
            <w:noWrap/>
            <w:vAlign w:val="bottom"/>
            <w:hideMark/>
          </w:tcPr>
          <w:p w:rsidR="002D36D2" w:rsidRPr="002B03B8" w:rsidRDefault="00650791" w:rsidP="002D36D2">
            <w:pPr>
              <w:spacing w:before="0" w:after="0" w:line="240" w:lineRule="auto"/>
              <w:rPr>
                <w:rFonts w:cs="Arial"/>
                <w:b/>
                <w:bCs/>
                <w:color w:val="auto"/>
                <w:sz w:val="22"/>
                <w:szCs w:val="22"/>
                <w:lang w:eastAsia="en-GB"/>
              </w:rPr>
            </w:pPr>
            <w:r w:rsidRPr="002B03B8">
              <w:rPr>
                <w:rFonts w:cs="Arial"/>
                <w:b/>
                <w:bCs/>
                <w:color w:val="auto"/>
                <w:sz w:val="22"/>
                <w:szCs w:val="22"/>
                <w:lang w:eastAsia="en-GB"/>
              </w:rPr>
              <w:t xml:space="preserve"> </w:t>
            </w:r>
            <w:r w:rsidR="002D36D2" w:rsidRPr="002B03B8">
              <w:rPr>
                <w:rFonts w:cs="Arial"/>
                <w:b/>
                <w:bCs/>
                <w:color w:val="auto"/>
                <w:sz w:val="22"/>
                <w:szCs w:val="22"/>
                <w:lang w:eastAsia="en-GB"/>
              </w:rPr>
              <w:t xml:space="preserve">   </w:t>
            </w:r>
            <w:r w:rsidRPr="002B03B8">
              <w:rPr>
                <w:rFonts w:cs="Arial"/>
                <w:b/>
                <w:bCs/>
                <w:color w:val="auto"/>
                <w:sz w:val="22"/>
                <w:szCs w:val="22"/>
                <w:lang w:eastAsia="en-GB"/>
              </w:rPr>
              <w:t>£</w:t>
            </w:r>
            <w:r w:rsidR="002D36D2" w:rsidRPr="002B03B8">
              <w:rPr>
                <w:rFonts w:cs="Arial"/>
                <w:b/>
                <w:bCs/>
                <w:color w:val="auto"/>
                <w:sz w:val="22"/>
                <w:szCs w:val="22"/>
                <w:lang w:eastAsia="en-GB"/>
              </w:rPr>
              <w:t xml:space="preserve">14,237.00 </w:t>
            </w:r>
          </w:p>
        </w:tc>
        <w:tc>
          <w:tcPr>
            <w:tcW w:w="1332" w:type="dxa"/>
            <w:tcBorders>
              <w:top w:val="single" w:sz="8" w:space="0" w:color="auto"/>
              <w:left w:val="nil"/>
              <w:bottom w:val="nil"/>
              <w:right w:val="single" w:sz="8" w:space="0" w:color="auto"/>
            </w:tcBorders>
            <w:shd w:val="clear" w:color="000000" w:fill="D9D9D9"/>
            <w:noWrap/>
            <w:vAlign w:val="bottom"/>
            <w:hideMark/>
          </w:tcPr>
          <w:p w:rsidR="002D36D2" w:rsidRPr="002B03B8" w:rsidRDefault="00650791" w:rsidP="002D36D2">
            <w:pPr>
              <w:spacing w:before="0" w:after="0" w:line="240" w:lineRule="auto"/>
              <w:rPr>
                <w:rFonts w:cs="Arial"/>
                <w:b/>
                <w:bCs/>
                <w:color w:val="auto"/>
                <w:sz w:val="22"/>
                <w:szCs w:val="22"/>
                <w:lang w:eastAsia="en-GB"/>
              </w:rPr>
            </w:pPr>
            <w:r w:rsidRPr="002B03B8">
              <w:rPr>
                <w:rFonts w:cs="Arial"/>
                <w:b/>
                <w:bCs/>
                <w:color w:val="auto"/>
                <w:sz w:val="22"/>
                <w:szCs w:val="22"/>
                <w:lang w:eastAsia="en-GB"/>
              </w:rPr>
              <w:t xml:space="preserve"> </w:t>
            </w:r>
            <w:r w:rsidR="002D36D2" w:rsidRPr="002B03B8">
              <w:rPr>
                <w:rFonts w:cs="Arial"/>
                <w:b/>
                <w:bCs/>
                <w:color w:val="auto"/>
                <w:sz w:val="22"/>
                <w:szCs w:val="22"/>
                <w:lang w:eastAsia="en-GB"/>
              </w:rPr>
              <w:t xml:space="preserve">   </w:t>
            </w:r>
            <w:r w:rsidRPr="002B03B8">
              <w:rPr>
                <w:rFonts w:cs="Arial"/>
                <w:b/>
                <w:bCs/>
                <w:color w:val="auto"/>
                <w:sz w:val="22"/>
                <w:szCs w:val="22"/>
                <w:lang w:eastAsia="en-GB"/>
              </w:rPr>
              <w:t>£</w:t>
            </w:r>
            <w:r w:rsidR="002D36D2" w:rsidRPr="002B03B8">
              <w:rPr>
                <w:rFonts w:cs="Arial"/>
                <w:b/>
                <w:bCs/>
                <w:color w:val="auto"/>
                <w:sz w:val="22"/>
                <w:szCs w:val="22"/>
                <w:lang w:eastAsia="en-GB"/>
              </w:rPr>
              <w:t xml:space="preserve">7,257.00 </w:t>
            </w:r>
          </w:p>
        </w:tc>
        <w:tc>
          <w:tcPr>
            <w:tcW w:w="1834" w:type="dxa"/>
            <w:tcBorders>
              <w:top w:val="single" w:sz="8" w:space="0" w:color="auto"/>
              <w:left w:val="nil"/>
              <w:bottom w:val="single" w:sz="8" w:space="0" w:color="auto"/>
              <w:right w:val="single" w:sz="8" w:space="0" w:color="auto"/>
            </w:tcBorders>
            <w:shd w:val="clear" w:color="000000" w:fill="D9D9D9"/>
            <w:noWrap/>
            <w:vAlign w:val="bottom"/>
            <w:hideMark/>
          </w:tcPr>
          <w:p w:rsidR="002D36D2" w:rsidRPr="002B03B8" w:rsidRDefault="00650791" w:rsidP="002D36D2">
            <w:pPr>
              <w:spacing w:before="0" w:after="0" w:line="240" w:lineRule="auto"/>
              <w:rPr>
                <w:rFonts w:cs="Arial"/>
                <w:b/>
                <w:bCs/>
                <w:sz w:val="22"/>
                <w:szCs w:val="22"/>
                <w:lang w:eastAsia="en-GB"/>
              </w:rPr>
            </w:pPr>
            <w:r w:rsidRPr="002B03B8">
              <w:rPr>
                <w:rFonts w:cs="Arial"/>
                <w:b/>
                <w:bCs/>
                <w:sz w:val="22"/>
                <w:szCs w:val="22"/>
                <w:lang w:eastAsia="en-GB"/>
              </w:rPr>
              <w:t xml:space="preserve">           £</w:t>
            </w:r>
            <w:r w:rsidR="002D36D2" w:rsidRPr="002B03B8">
              <w:rPr>
                <w:rFonts w:cs="Arial"/>
                <w:b/>
                <w:bCs/>
                <w:sz w:val="22"/>
                <w:szCs w:val="22"/>
                <w:lang w:eastAsia="en-GB"/>
              </w:rPr>
              <w:t xml:space="preserve">101,060.57 </w:t>
            </w:r>
          </w:p>
        </w:tc>
      </w:tr>
      <w:tr w:rsidR="002D36D2" w:rsidRPr="002B03B8" w:rsidTr="00650791">
        <w:trPr>
          <w:trHeight w:val="335"/>
        </w:trPr>
        <w:tc>
          <w:tcPr>
            <w:tcW w:w="2345" w:type="dxa"/>
            <w:tcBorders>
              <w:top w:val="single" w:sz="8" w:space="0" w:color="auto"/>
              <w:left w:val="single" w:sz="8" w:space="0" w:color="auto"/>
              <w:bottom w:val="single" w:sz="8" w:space="0" w:color="auto"/>
              <w:right w:val="nil"/>
            </w:tcBorders>
            <w:shd w:val="clear" w:color="auto" w:fill="auto"/>
            <w:noWrap/>
            <w:vAlign w:val="bottom"/>
            <w:hideMark/>
          </w:tcPr>
          <w:p w:rsidR="002D36D2" w:rsidRPr="002B03B8" w:rsidRDefault="002D36D2" w:rsidP="002D36D2">
            <w:pPr>
              <w:spacing w:before="0" w:after="0" w:line="240" w:lineRule="auto"/>
              <w:rPr>
                <w:rFonts w:cs="Arial"/>
                <w:sz w:val="22"/>
                <w:szCs w:val="22"/>
                <w:lang w:eastAsia="en-GB"/>
              </w:rPr>
            </w:pPr>
            <w:r w:rsidRPr="002B03B8">
              <w:rPr>
                <w:rFonts w:cs="Arial"/>
                <w:sz w:val="22"/>
                <w:szCs w:val="22"/>
                <w:lang w:eastAsia="en-GB"/>
              </w:rPr>
              <w:t> </w:t>
            </w:r>
          </w:p>
        </w:tc>
        <w:tc>
          <w:tcPr>
            <w:tcW w:w="13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D36D2" w:rsidRPr="002B03B8" w:rsidRDefault="002D36D2" w:rsidP="002D36D2">
            <w:pPr>
              <w:spacing w:before="0" w:after="0" w:line="240" w:lineRule="auto"/>
              <w:rPr>
                <w:rFonts w:cs="Arial"/>
                <w:sz w:val="22"/>
                <w:szCs w:val="22"/>
                <w:lang w:eastAsia="en-GB"/>
              </w:rPr>
            </w:pPr>
            <w:r w:rsidRPr="002B03B8">
              <w:rPr>
                <w:rFonts w:cs="Arial"/>
                <w:sz w:val="22"/>
                <w:szCs w:val="22"/>
                <w:lang w:eastAsia="en-GB"/>
              </w:rPr>
              <w:t> </w:t>
            </w:r>
          </w:p>
        </w:tc>
        <w:tc>
          <w:tcPr>
            <w:tcW w:w="1312" w:type="dxa"/>
            <w:tcBorders>
              <w:top w:val="single" w:sz="8" w:space="0" w:color="auto"/>
              <w:left w:val="nil"/>
              <w:bottom w:val="single" w:sz="8" w:space="0" w:color="auto"/>
              <w:right w:val="nil"/>
            </w:tcBorders>
            <w:shd w:val="clear" w:color="auto" w:fill="auto"/>
            <w:noWrap/>
            <w:vAlign w:val="bottom"/>
            <w:hideMark/>
          </w:tcPr>
          <w:p w:rsidR="002D36D2" w:rsidRPr="002B03B8" w:rsidRDefault="002D36D2" w:rsidP="002D36D2">
            <w:pPr>
              <w:spacing w:before="0" w:after="0" w:line="240" w:lineRule="auto"/>
              <w:rPr>
                <w:rFonts w:cs="Arial"/>
                <w:sz w:val="22"/>
                <w:szCs w:val="22"/>
                <w:lang w:eastAsia="en-GB"/>
              </w:rPr>
            </w:pPr>
            <w:r w:rsidRPr="002B03B8">
              <w:rPr>
                <w:rFonts w:cs="Arial"/>
                <w:sz w:val="22"/>
                <w:szCs w:val="22"/>
                <w:lang w:eastAsia="en-GB"/>
              </w:rPr>
              <w:t> </w:t>
            </w:r>
          </w:p>
        </w:tc>
        <w:tc>
          <w:tcPr>
            <w:tcW w:w="13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D36D2" w:rsidRPr="002B03B8" w:rsidRDefault="002D36D2" w:rsidP="002D36D2">
            <w:pPr>
              <w:spacing w:before="0" w:after="0" w:line="240" w:lineRule="auto"/>
              <w:rPr>
                <w:rFonts w:cs="Arial"/>
                <w:sz w:val="22"/>
                <w:szCs w:val="22"/>
                <w:lang w:eastAsia="en-GB"/>
              </w:rPr>
            </w:pPr>
            <w:r w:rsidRPr="002B03B8">
              <w:rPr>
                <w:rFonts w:cs="Arial"/>
                <w:sz w:val="22"/>
                <w:szCs w:val="22"/>
                <w:lang w:eastAsia="en-GB"/>
              </w:rPr>
              <w:t> </w:t>
            </w:r>
          </w:p>
        </w:tc>
        <w:tc>
          <w:tcPr>
            <w:tcW w:w="1332" w:type="dxa"/>
            <w:tcBorders>
              <w:top w:val="single" w:sz="8" w:space="0" w:color="auto"/>
              <w:left w:val="nil"/>
              <w:bottom w:val="single" w:sz="8" w:space="0" w:color="auto"/>
              <w:right w:val="single" w:sz="8" w:space="0" w:color="auto"/>
            </w:tcBorders>
            <w:shd w:val="clear" w:color="auto" w:fill="auto"/>
            <w:noWrap/>
            <w:vAlign w:val="bottom"/>
            <w:hideMark/>
          </w:tcPr>
          <w:p w:rsidR="002D36D2" w:rsidRPr="002B03B8" w:rsidRDefault="002D36D2" w:rsidP="002D36D2">
            <w:pPr>
              <w:spacing w:before="0" w:after="0" w:line="240" w:lineRule="auto"/>
              <w:rPr>
                <w:rFonts w:cs="Arial"/>
                <w:sz w:val="22"/>
                <w:szCs w:val="22"/>
                <w:lang w:eastAsia="en-GB"/>
              </w:rPr>
            </w:pPr>
            <w:r w:rsidRPr="002B03B8">
              <w:rPr>
                <w:rFonts w:cs="Arial"/>
                <w:sz w:val="22"/>
                <w:szCs w:val="22"/>
                <w:lang w:eastAsia="en-GB"/>
              </w:rPr>
              <w:t> </w:t>
            </w:r>
          </w:p>
        </w:tc>
        <w:tc>
          <w:tcPr>
            <w:tcW w:w="1834" w:type="dxa"/>
            <w:tcBorders>
              <w:top w:val="nil"/>
              <w:left w:val="nil"/>
              <w:bottom w:val="single" w:sz="8" w:space="0" w:color="auto"/>
              <w:right w:val="single" w:sz="8" w:space="0" w:color="auto"/>
            </w:tcBorders>
            <w:shd w:val="clear" w:color="auto" w:fill="auto"/>
            <w:noWrap/>
            <w:vAlign w:val="bottom"/>
            <w:hideMark/>
          </w:tcPr>
          <w:p w:rsidR="002D36D2" w:rsidRPr="002B03B8" w:rsidRDefault="002D36D2" w:rsidP="002D36D2">
            <w:pPr>
              <w:spacing w:before="0" w:after="0" w:line="240" w:lineRule="auto"/>
              <w:rPr>
                <w:rFonts w:cs="Arial"/>
                <w:b/>
                <w:bCs/>
                <w:sz w:val="22"/>
                <w:szCs w:val="22"/>
                <w:lang w:eastAsia="en-GB"/>
              </w:rPr>
            </w:pPr>
            <w:r w:rsidRPr="002B03B8">
              <w:rPr>
                <w:rFonts w:cs="Arial"/>
                <w:b/>
                <w:bCs/>
                <w:sz w:val="22"/>
                <w:szCs w:val="22"/>
                <w:lang w:eastAsia="en-GB"/>
              </w:rPr>
              <w:t> </w:t>
            </w:r>
          </w:p>
        </w:tc>
      </w:tr>
    </w:tbl>
    <w:p w:rsidR="002D36D2" w:rsidRDefault="002D36D2" w:rsidP="00354D10">
      <w:pPr>
        <w:tabs>
          <w:tab w:val="left" w:pos="720"/>
        </w:tabs>
        <w:spacing w:before="0" w:after="0" w:line="240" w:lineRule="auto"/>
        <w:rPr>
          <w:rFonts w:cs="Arial"/>
          <w:b/>
          <w:color w:val="1F497D"/>
          <w:sz w:val="24"/>
          <w:szCs w:val="24"/>
        </w:rPr>
      </w:pPr>
    </w:p>
    <w:p w:rsidR="002B03B8" w:rsidRDefault="002B03B8" w:rsidP="00354D10">
      <w:pPr>
        <w:tabs>
          <w:tab w:val="left" w:pos="720"/>
        </w:tabs>
        <w:spacing w:before="0" w:after="0" w:line="240" w:lineRule="auto"/>
        <w:rPr>
          <w:rFonts w:cs="Arial"/>
          <w:b/>
          <w:color w:val="1F497D"/>
          <w:sz w:val="24"/>
          <w:szCs w:val="24"/>
        </w:rPr>
      </w:pPr>
    </w:p>
    <w:p w:rsidR="008B4F73" w:rsidRPr="002B03B8" w:rsidRDefault="008B4F73" w:rsidP="00354D10">
      <w:pPr>
        <w:tabs>
          <w:tab w:val="left" w:pos="720"/>
        </w:tabs>
        <w:spacing w:before="0" w:after="0" w:line="240" w:lineRule="auto"/>
        <w:rPr>
          <w:rFonts w:cs="Arial"/>
          <w:b/>
          <w:color w:val="000000" w:themeColor="text1"/>
          <w:sz w:val="24"/>
          <w:szCs w:val="24"/>
        </w:rPr>
      </w:pPr>
      <w:r w:rsidRPr="002B03B8">
        <w:rPr>
          <w:rFonts w:cs="Arial"/>
          <w:b/>
          <w:color w:val="000000" w:themeColor="text1"/>
          <w:sz w:val="24"/>
          <w:szCs w:val="24"/>
        </w:rPr>
        <w:t>Requirements</w:t>
      </w:r>
    </w:p>
    <w:p w:rsidR="008B4F73" w:rsidRPr="009066E8" w:rsidRDefault="008B4F73" w:rsidP="00354D10">
      <w:pPr>
        <w:tabs>
          <w:tab w:val="left" w:pos="720"/>
        </w:tabs>
        <w:spacing w:before="0" w:after="0" w:line="240" w:lineRule="auto"/>
        <w:rPr>
          <w:rFonts w:cs="Arial"/>
          <w:b/>
          <w:color w:val="auto"/>
          <w:sz w:val="24"/>
          <w:szCs w:val="24"/>
        </w:rPr>
      </w:pPr>
    </w:p>
    <w:p w:rsidR="006F207E" w:rsidRPr="0036139B" w:rsidRDefault="00561A8B" w:rsidP="006F207E">
      <w:pPr>
        <w:autoSpaceDE w:val="0"/>
        <w:autoSpaceDN w:val="0"/>
        <w:adjustRightInd w:val="0"/>
        <w:jc w:val="both"/>
        <w:rPr>
          <w:rFonts w:cs="Arial"/>
          <w:sz w:val="24"/>
          <w:szCs w:val="24"/>
        </w:rPr>
      </w:pPr>
      <w:r w:rsidRPr="0036139B">
        <w:rPr>
          <w:rFonts w:cs="Arial"/>
          <w:color w:val="auto"/>
          <w:sz w:val="24"/>
          <w:szCs w:val="24"/>
          <w:lang w:val="en-AU"/>
        </w:rPr>
        <w:t xml:space="preserve">Shepway District Council </w:t>
      </w:r>
      <w:r w:rsidRPr="0036139B">
        <w:rPr>
          <w:rFonts w:cs="Arial"/>
          <w:color w:val="auto"/>
          <w:sz w:val="24"/>
          <w:szCs w:val="24"/>
          <w:lang w:eastAsia="en-GB"/>
        </w:rPr>
        <w:t xml:space="preserve">is seeking to appoint a </w:t>
      </w:r>
      <w:r w:rsidR="004E2BC1">
        <w:rPr>
          <w:rFonts w:cs="Arial"/>
          <w:color w:val="auto"/>
          <w:sz w:val="24"/>
          <w:szCs w:val="24"/>
          <w:lang w:eastAsia="en-GB"/>
        </w:rPr>
        <w:t xml:space="preserve">Service Provider </w:t>
      </w:r>
      <w:r w:rsidR="004E2BC1" w:rsidRPr="0036139B">
        <w:rPr>
          <w:rFonts w:cs="Arial"/>
          <w:color w:val="auto"/>
          <w:sz w:val="24"/>
          <w:szCs w:val="24"/>
          <w:lang w:eastAsia="en-GB"/>
        </w:rPr>
        <w:t>to</w:t>
      </w:r>
      <w:r w:rsidRPr="0036139B">
        <w:rPr>
          <w:rFonts w:cs="Arial"/>
          <w:color w:val="auto"/>
          <w:sz w:val="24"/>
          <w:szCs w:val="24"/>
          <w:lang w:eastAsia="en-GB"/>
        </w:rPr>
        <w:t xml:space="preserve"> provide</w:t>
      </w:r>
      <w:r w:rsidR="00060BB2" w:rsidRPr="0036139B">
        <w:rPr>
          <w:rFonts w:cs="Arial"/>
          <w:color w:val="auto"/>
          <w:sz w:val="24"/>
          <w:szCs w:val="24"/>
          <w:lang w:eastAsia="en-GB"/>
        </w:rPr>
        <w:t xml:space="preserve"> and facilitate the provision of Insurance Services for a Tenants Home Contents Insurance Scheme</w:t>
      </w:r>
      <w:r w:rsidRPr="0036139B">
        <w:rPr>
          <w:rFonts w:cs="Arial"/>
          <w:color w:val="auto"/>
          <w:sz w:val="24"/>
          <w:szCs w:val="24"/>
          <w:lang w:eastAsia="en-GB"/>
        </w:rPr>
        <w:t>.</w:t>
      </w:r>
      <w:r w:rsidRPr="0036139B">
        <w:rPr>
          <w:rFonts w:cs="Arial"/>
          <w:color w:val="auto"/>
          <w:sz w:val="24"/>
          <w:szCs w:val="24"/>
          <w:lang w:val="en-AU"/>
        </w:rPr>
        <w:t xml:space="preserve"> </w:t>
      </w:r>
      <w:r w:rsidRPr="0036139B">
        <w:rPr>
          <w:rFonts w:cs="Arial"/>
          <w:color w:val="auto"/>
          <w:sz w:val="24"/>
          <w:szCs w:val="24"/>
          <w:lang w:eastAsia="en-GB"/>
        </w:rPr>
        <w:t xml:space="preserve">The Council’s current contents insurance scheme </w:t>
      </w:r>
      <w:r w:rsidR="002C18D7" w:rsidRPr="0036139B">
        <w:rPr>
          <w:rFonts w:cs="Arial"/>
          <w:color w:val="auto"/>
          <w:sz w:val="24"/>
          <w:szCs w:val="24"/>
          <w:lang w:eastAsia="en-GB"/>
        </w:rPr>
        <w:t>arrangements expire on 1</w:t>
      </w:r>
      <w:r w:rsidR="002C18D7" w:rsidRPr="0036139B">
        <w:rPr>
          <w:rFonts w:cs="Arial"/>
          <w:color w:val="auto"/>
          <w:sz w:val="24"/>
          <w:szCs w:val="24"/>
          <w:vertAlign w:val="superscript"/>
          <w:lang w:eastAsia="en-GB"/>
        </w:rPr>
        <w:t>st</w:t>
      </w:r>
      <w:r w:rsidR="002C18D7" w:rsidRPr="0036139B">
        <w:rPr>
          <w:rFonts w:cs="Arial"/>
          <w:color w:val="auto"/>
          <w:sz w:val="24"/>
          <w:szCs w:val="24"/>
          <w:lang w:eastAsia="en-GB"/>
        </w:rPr>
        <w:t xml:space="preserve"> April 2018 and require</w:t>
      </w:r>
      <w:r w:rsidR="00060BB2" w:rsidRPr="0036139B">
        <w:rPr>
          <w:rFonts w:cs="Arial"/>
          <w:color w:val="auto"/>
          <w:sz w:val="24"/>
          <w:szCs w:val="24"/>
          <w:lang w:eastAsia="en-GB"/>
        </w:rPr>
        <w:t xml:space="preserve"> a </w:t>
      </w:r>
      <w:r w:rsidR="004E2BC1">
        <w:rPr>
          <w:rFonts w:cs="Arial"/>
          <w:color w:val="auto"/>
          <w:sz w:val="24"/>
          <w:szCs w:val="24"/>
          <w:lang w:val="en-AU"/>
        </w:rPr>
        <w:t>Service Provider</w:t>
      </w:r>
      <w:r w:rsidRPr="0036139B">
        <w:rPr>
          <w:rFonts w:cs="Arial"/>
          <w:color w:val="auto"/>
          <w:sz w:val="24"/>
          <w:szCs w:val="24"/>
          <w:lang w:val="en-AU"/>
        </w:rPr>
        <w:t xml:space="preserve"> </w:t>
      </w:r>
      <w:r w:rsidR="00060BB2" w:rsidRPr="0036139B">
        <w:rPr>
          <w:rFonts w:cs="Arial"/>
          <w:color w:val="auto"/>
          <w:sz w:val="24"/>
          <w:szCs w:val="24"/>
          <w:lang w:val="en-AU"/>
        </w:rPr>
        <w:t>to cover</w:t>
      </w:r>
      <w:r w:rsidRPr="0036139B">
        <w:rPr>
          <w:rFonts w:cs="Arial"/>
          <w:color w:val="auto"/>
          <w:sz w:val="24"/>
          <w:szCs w:val="24"/>
          <w:lang w:val="en-AU"/>
        </w:rPr>
        <w:t xml:space="preserve"> </w:t>
      </w:r>
      <w:r w:rsidR="002C18D7" w:rsidRPr="0036139B">
        <w:rPr>
          <w:rFonts w:cs="Arial"/>
          <w:color w:val="auto"/>
          <w:sz w:val="24"/>
          <w:szCs w:val="24"/>
          <w:lang w:val="en-AU"/>
        </w:rPr>
        <w:t>the insurance scheme from</w:t>
      </w:r>
      <w:r w:rsidR="00523149">
        <w:rPr>
          <w:rFonts w:cs="Arial"/>
          <w:color w:val="auto"/>
          <w:sz w:val="24"/>
          <w:szCs w:val="24"/>
          <w:lang w:val="en-AU"/>
        </w:rPr>
        <w:t xml:space="preserve"> </w:t>
      </w:r>
      <w:r w:rsidR="00523149">
        <w:rPr>
          <w:rFonts w:cs="Arial"/>
          <w:color w:val="auto"/>
          <w:sz w:val="24"/>
          <w:szCs w:val="24"/>
          <w:lang w:val="en-AU"/>
        </w:rPr>
        <w:lastRenderedPageBreak/>
        <w:t>Monday</w:t>
      </w:r>
      <w:r w:rsidR="002C18D7" w:rsidRPr="0036139B">
        <w:rPr>
          <w:rFonts w:cs="Arial"/>
          <w:color w:val="auto"/>
          <w:sz w:val="24"/>
          <w:szCs w:val="24"/>
          <w:lang w:val="en-AU"/>
        </w:rPr>
        <w:t xml:space="preserve"> 2</w:t>
      </w:r>
      <w:r w:rsidR="00E86E11" w:rsidRPr="0036139B">
        <w:rPr>
          <w:rFonts w:cs="Arial"/>
          <w:color w:val="auto"/>
          <w:sz w:val="24"/>
          <w:szCs w:val="24"/>
          <w:lang w:val="en-AU"/>
        </w:rPr>
        <w:t>nd</w:t>
      </w:r>
      <w:r w:rsidRPr="0036139B">
        <w:rPr>
          <w:rFonts w:cs="Arial"/>
          <w:color w:val="auto"/>
          <w:sz w:val="24"/>
          <w:szCs w:val="24"/>
          <w:lang w:val="en-AU"/>
        </w:rPr>
        <w:t xml:space="preserve"> April 2018.</w:t>
      </w:r>
      <w:r w:rsidR="002C18D7" w:rsidRPr="0036139B">
        <w:rPr>
          <w:rFonts w:cs="Arial"/>
          <w:sz w:val="24"/>
          <w:szCs w:val="24"/>
        </w:rPr>
        <w:t xml:space="preserve"> </w:t>
      </w:r>
      <w:r w:rsidR="006F207E" w:rsidRPr="0036139B">
        <w:rPr>
          <w:rFonts w:cs="Arial"/>
          <w:sz w:val="24"/>
          <w:szCs w:val="24"/>
        </w:rPr>
        <w:t>The council is looking for a 2 year contract with an option to extend for a further 12 month</w:t>
      </w:r>
      <w:r w:rsidR="00AD674E">
        <w:rPr>
          <w:rFonts w:cs="Arial"/>
          <w:sz w:val="24"/>
          <w:szCs w:val="24"/>
        </w:rPr>
        <w:t>s</w:t>
      </w:r>
      <w:r w:rsidR="006F207E" w:rsidRPr="0036139B">
        <w:rPr>
          <w:rFonts w:cs="Arial"/>
          <w:sz w:val="24"/>
          <w:szCs w:val="24"/>
        </w:rPr>
        <w:t xml:space="preserve"> + 12 month</w:t>
      </w:r>
      <w:r w:rsidR="00AD674E">
        <w:rPr>
          <w:rFonts w:cs="Arial"/>
          <w:sz w:val="24"/>
          <w:szCs w:val="24"/>
        </w:rPr>
        <w:t>s</w:t>
      </w:r>
      <w:r w:rsidR="006F207E" w:rsidRPr="0036139B">
        <w:rPr>
          <w:rFonts w:cs="Arial"/>
          <w:sz w:val="24"/>
          <w:szCs w:val="24"/>
        </w:rPr>
        <w:t xml:space="preserve"> period.</w:t>
      </w:r>
    </w:p>
    <w:p w:rsidR="002C18D7" w:rsidRPr="00C13476" w:rsidRDefault="006F207E" w:rsidP="00C13476">
      <w:pPr>
        <w:autoSpaceDE w:val="0"/>
        <w:autoSpaceDN w:val="0"/>
        <w:adjustRightInd w:val="0"/>
        <w:jc w:val="both"/>
        <w:rPr>
          <w:rFonts w:cs="Arial"/>
          <w:sz w:val="24"/>
          <w:szCs w:val="24"/>
        </w:rPr>
      </w:pPr>
      <w:r w:rsidRPr="0036139B">
        <w:rPr>
          <w:rFonts w:cs="Arial"/>
          <w:sz w:val="24"/>
          <w:szCs w:val="24"/>
        </w:rPr>
        <w:t>Premium is to be collected weekly</w:t>
      </w:r>
      <w:r w:rsidR="00F63031">
        <w:rPr>
          <w:rFonts w:cs="Arial"/>
          <w:sz w:val="24"/>
          <w:szCs w:val="24"/>
        </w:rPr>
        <w:t xml:space="preserve"> based on a 50 week period</w:t>
      </w:r>
      <w:r w:rsidRPr="0036139B">
        <w:rPr>
          <w:rFonts w:cs="Arial"/>
          <w:sz w:val="24"/>
          <w:szCs w:val="24"/>
        </w:rPr>
        <w:t>. Claims are made direct to the insurer</w:t>
      </w:r>
      <w:r w:rsidR="00362FFB">
        <w:rPr>
          <w:rFonts w:cs="Arial"/>
          <w:sz w:val="24"/>
          <w:szCs w:val="24"/>
        </w:rPr>
        <w:t xml:space="preserve"> and must be available </w:t>
      </w:r>
      <w:r w:rsidR="00362FFB" w:rsidRPr="00362FFB">
        <w:rPr>
          <w:rFonts w:cs="Arial"/>
          <w:sz w:val="24"/>
          <w:szCs w:val="24"/>
        </w:rPr>
        <w:t>by telephone</w:t>
      </w:r>
      <w:r w:rsidRPr="0036139B">
        <w:rPr>
          <w:rFonts w:cs="Arial"/>
          <w:sz w:val="24"/>
          <w:szCs w:val="24"/>
        </w:rPr>
        <w:t>.</w:t>
      </w:r>
    </w:p>
    <w:p w:rsidR="002C18D7" w:rsidRPr="00C13476" w:rsidRDefault="002C18D7" w:rsidP="00C13476">
      <w:pPr>
        <w:spacing w:before="0" w:after="0" w:line="240" w:lineRule="auto"/>
        <w:jc w:val="both"/>
        <w:rPr>
          <w:rFonts w:cs="Arial"/>
          <w:color w:val="auto"/>
          <w:sz w:val="24"/>
          <w:szCs w:val="24"/>
          <w:lang w:val="en-AU"/>
        </w:rPr>
      </w:pPr>
      <w:r w:rsidRPr="0036139B">
        <w:rPr>
          <w:rFonts w:cs="Arial"/>
          <w:color w:val="auto"/>
          <w:sz w:val="24"/>
          <w:szCs w:val="24"/>
          <w:lang w:val="en-AU"/>
        </w:rPr>
        <w:t>The Service Provider will need to demonstrate their ability to administer similar schemes as dictated by any conditions laid down by the Financial Conduct Authority and must be able to</w:t>
      </w:r>
      <w:r w:rsidRPr="0036139B">
        <w:rPr>
          <w:rFonts w:cs="Arial"/>
          <w:sz w:val="24"/>
          <w:szCs w:val="24"/>
        </w:rPr>
        <w:t xml:space="preserve"> </w:t>
      </w:r>
      <w:r w:rsidRPr="0036139B">
        <w:rPr>
          <w:rFonts w:cs="Arial"/>
          <w:color w:val="auto"/>
          <w:sz w:val="24"/>
          <w:szCs w:val="24"/>
          <w:lang w:val="en-AU"/>
        </w:rPr>
        <w:t>ensure a seamless transition for insurance coverage for our tenants by 2nd April 2018 start date</w:t>
      </w:r>
      <w:r w:rsidR="00BB27B4" w:rsidRPr="0036139B">
        <w:rPr>
          <w:rFonts w:cs="Arial"/>
          <w:color w:val="auto"/>
          <w:sz w:val="24"/>
          <w:szCs w:val="24"/>
          <w:lang w:val="en-AU"/>
        </w:rPr>
        <w:t>.</w:t>
      </w:r>
    </w:p>
    <w:p w:rsidR="002C18D7" w:rsidRDefault="002C18D7" w:rsidP="00C13476">
      <w:pPr>
        <w:spacing w:line="240" w:lineRule="auto"/>
        <w:jc w:val="both"/>
        <w:rPr>
          <w:rFonts w:cs="Arial"/>
          <w:sz w:val="24"/>
          <w:szCs w:val="24"/>
        </w:rPr>
      </w:pPr>
      <w:r w:rsidRPr="0036139B">
        <w:rPr>
          <w:rFonts w:cs="Arial"/>
          <w:color w:val="auto"/>
          <w:sz w:val="24"/>
          <w:szCs w:val="24"/>
          <w:lang w:eastAsia="en-GB"/>
        </w:rPr>
        <w:t>It i</w:t>
      </w:r>
      <w:r w:rsidR="00561A8B" w:rsidRPr="0036139B">
        <w:rPr>
          <w:rFonts w:cs="Arial"/>
          <w:color w:val="auto"/>
          <w:sz w:val="24"/>
          <w:szCs w:val="24"/>
          <w:lang w:eastAsia="en-GB"/>
        </w:rPr>
        <w:t xml:space="preserve">s intended under this contract that the </w:t>
      </w:r>
      <w:r w:rsidR="004E2BC1">
        <w:rPr>
          <w:rFonts w:cs="Arial"/>
          <w:color w:val="auto"/>
          <w:sz w:val="24"/>
          <w:szCs w:val="24"/>
          <w:lang w:eastAsia="en-GB"/>
        </w:rPr>
        <w:t xml:space="preserve">Service Provider </w:t>
      </w:r>
      <w:r w:rsidR="004E2BC1" w:rsidRPr="0036139B">
        <w:rPr>
          <w:rFonts w:cs="Arial"/>
          <w:color w:val="auto"/>
          <w:sz w:val="24"/>
          <w:szCs w:val="24"/>
          <w:lang w:eastAsia="en-GB"/>
        </w:rPr>
        <w:t>will</w:t>
      </w:r>
      <w:r w:rsidR="00561A8B" w:rsidRPr="0036139B">
        <w:rPr>
          <w:rFonts w:cs="Arial"/>
          <w:color w:val="auto"/>
          <w:sz w:val="24"/>
          <w:szCs w:val="24"/>
          <w:lang w:eastAsia="en-GB"/>
        </w:rPr>
        <w:t xml:space="preserve"> offer a range of marketing support to maximise take-up amongst tenants of the District and all associated costs will be deemed to be included. </w:t>
      </w:r>
      <w:r w:rsidR="00CC3390" w:rsidRPr="0036139B">
        <w:rPr>
          <w:rFonts w:cs="Arial"/>
          <w:sz w:val="24"/>
          <w:szCs w:val="24"/>
        </w:rPr>
        <w:t xml:space="preserve">The council would expect to work with the </w:t>
      </w:r>
      <w:r w:rsidR="004E2BC1">
        <w:rPr>
          <w:rFonts w:cs="Arial"/>
          <w:sz w:val="24"/>
          <w:szCs w:val="24"/>
        </w:rPr>
        <w:t xml:space="preserve">Service </w:t>
      </w:r>
      <w:r w:rsidR="00CC3390" w:rsidRPr="0036139B">
        <w:rPr>
          <w:rFonts w:cs="Arial"/>
          <w:sz w:val="24"/>
          <w:szCs w:val="24"/>
        </w:rPr>
        <w:t>Provider to promote the new insurance and, where possible, increase the uptake of the scheme.</w:t>
      </w:r>
    </w:p>
    <w:p w:rsidR="00C13476" w:rsidRPr="0036139B" w:rsidRDefault="00C13476" w:rsidP="00C13476">
      <w:pPr>
        <w:spacing w:line="240" w:lineRule="auto"/>
        <w:jc w:val="both"/>
        <w:rPr>
          <w:rFonts w:cs="Arial"/>
          <w:sz w:val="24"/>
          <w:szCs w:val="24"/>
        </w:rPr>
      </w:pPr>
    </w:p>
    <w:p w:rsidR="00561A8B" w:rsidRDefault="002B03B8" w:rsidP="00354D10">
      <w:pPr>
        <w:spacing w:before="0" w:after="0" w:line="240" w:lineRule="auto"/>
        <w:jc w:val="both"/>
        <w:rPr>
          <w:rFonts w:cs="Arial"/>
          <w:b/>
          <w:color w:val="000000" w:themeColor="text1"/>
          <w:sz w:val="24"/>
          <w:szCs w:val="24"/>
          <w:u w:val="single"/>
          <w:lang w:val="en-AU"/>
        </w:rPr>
      </w:pPr>
      <w:r>
        <w:rPr>
          <w:rFonts w:cs="Arial"/>
          <w:b/>
          <w:color w:val="000000" w:themeColor="text1"/>
          <w:sz w:val="24"/>
          <w:szCs w:val="24"/>
          <w:u w:val="single"/>
          <w:lang w:val="en-AU"/>
        </w:rPr>
        <w:t>Cover</w:t>
      </w:r>
    </w:p>
    <w:p w:rsidR="00C13476" w:rsidRPr="002B03B8" w:rsidRDefault="00C13476" w:rsidP="00354D10">
      <w:pPr>
        <w:spacing w:before="0" w:after="0" w:line="240" w:lineRule="auto"/>
        <w:jc w:val="both"/>
        <w:rPr>
          <w:rFonts w:cs="Arial"/>
          <w:b/>
          <w:color w:val="000000" w:themeColor="text1"/>
          <w:sz w:val="24"/>
          <w:szCs w:val="24"/>
          <w:u w:val="single"/>
          <w:lang w:val="en-AU"/>
        </w:rPr>
      </w:pPr>
    </w:p>
    <w:p w:rsidR="002C18D7" w:rsidRPr="0036139B" w:rsidRDefault="002C18D7" w:rsidP="005871EC">
      <w:pPr>
        <w:autoSpaceDE w:val="0"/>
        <w:autoSpaceDN w:val="0"/>
        <w:adjustRightInd w:val="0"/>
        <w:spacing w:before="0" w:after="0" w:line="240" w:lineRule="auto"/>
        <w:jc w:val="both"/>
        <w:rPr>
          <w:rFonts w:eastAsiaTheme="minorHAnsi" w:cs="Arial"/>
          <w:color w:val="auto"/>
          <w:sz w:val="24"/>
          <w:szCs w:val="24"/>
        </w:rPr>
      </w:pPr>
      <w:r w:rsidRPr="0036139B">
        <w:rPr>
          <w:rFonts w:eastAsiaTheme="minorHAnsi" w:cs="Arial"/>
          <w:color w:val="auto"/>
          <w:sz w:val="24"/>
          <w:szCs w:val="24"/>
        </w:rPr>
        <w:t>The Council requires standard and accidental dama</w:t>
      </w:r>
      <w:r w:rsidR="009F3FAF" w:rsidRPr="0036139B">
        <w:rPr>
          <w:rFonts w:eastAsiaTheme="minorHAnsi" w:cs="Arial"/>
          <w:color w:val="auto"/>
          <w:sz w:val="24"/>
          <w:szCs w:val="24"/>
        </w:rPr>
        <w:t>ge cover, within the range of £7</w:t>
      </w:r>
      <w:r w:rsidRPr="0036139B">
        <w:rPr>
          <w:rFonts w:eastAsiaTheme="minorHAnsi" w:cs="Arial"/>
          <w:color w:val="auto"/>
          <w:sz w:val="24"/>
          <w:szCs w:val="24"/>
        </w:rPr>
        <w:t xml:space="preserve">,000-£35,000, in increments of £1,000 with no excess on standard and accidental damage cover. </w:t>
      </w:r>
    </w:p>
    <w:p w:rsidR="002C18D7" w:rsidRPr="0036139B" w:rsidRDefault="002C18D7" w:rsidP="00354D10">
      <w:pPr>
        <w:autoSpaceDE w:val="0"/>
        <w:autoSpaceDN w:val="0"/>
        <w:adjustRightInd w:val="0"/>
        <w:spacing w:before="0" w:after="0" w:line="240" w:lineRule="auto"/>
        <w:jc w:val="both"/>
        <w:rPr>
          <w:rFonts w:cs="Arial"/>
          <w:color w:val="auto"/>
          <w:sz w:val="24"/>
          <w:szCs w:val="24"/>
          <w:lang w:val="en-AU"/>
        </w:rPr>
      </w:pPr>
    </w:p>
    <w:p w:rsidR="002C18D7" w:rsidRPr="0036139B" w:rsidRDefault="002C18D7" w:rsidP="00354D10">
      <w:pPr>
        <w:autoSpaceDE w:val="0"/>
        <w:autoSpaceDN w:val="0"/>
        <w:adjustRightInd w:val="0"/>
        <w:spacing w:before="0" w:after="0" w:line="240" w:lineRule="auto"/>
        <w:jc w:val="both"/>
        <w:rPr>
          <w:rFonts w:cs="Arial"/>
          <w:color w:val="auto"/>
          <w:sz w:val="24"/>
          <w:szCs w:val="24"/>
          <w:lang w:val="en-AU"/>
        </w:rPr>
      </w:pPr>
      <w:r w:rsidRPr="0036139B">
        <w:rPr>
          <w:rFonts w:cs="Arial"/>
          <w:color w:val="auto"/>
          <w:sz w:val="24"/>
          <w:szCs w:val="24"/>
          <w:lang w:val="en-AU"/>
        </w:rPr>
        <w:t xml:space="preserve">The requirement of policy offer is expected to </w:t>
      </w:r>
      <w:r w:rsidR="00B555B6" w:rsidRPr="0036139B">
        <w:rPr>
          <w:rFonts w:cs="Arial"/>
          <w:color w:val="auto"/>
          <w:sz w:val="24"/>
          <w:szCs w:val="24"/>
          <w:lang w:val="en-AU"/>
        </w:rPr>
        <w:t>cover the</w:t>
      </w:r>
    </w:p>
    <w:p w:rsidR="00B555B6" w:rsidRDefault="00B555B6" w:rsidP="00354D10">
      <w:pPr>
        <w:autoSpaceDE w:val="0"/>
        <w:autoSpaceDN w:val="0"/>
        <w:adjustRightInd w:val="0"/>
        <w:spacing w:before="0" w:after="0" w:line="240" w:lineRule="auto"/>
        <w:jc w:val="both"/>
        <w:rPr>
          <w:rFonts w:cs="Arial"/>
          <w:color w:val="auto"/>
          <w:sz w:val="24"/>
          <w:szCs w:val="24"/>
          <w:lang w:val="en-AU"/>
        </w:rPr>
      </w:pPr>
    </w:p>
    <w:p w:rsidR="00BB27B4" w:rsidRPr="0017450E" w:rsidRDefault="00BB27B4" w:rsidP="002B03B8">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Arial"/>
          <w:b/>
          <w:bCs/>
          <w:sz w:val="24"/>
          <w:szCs w:val="24"/>
        </w:rPr>
      </w:pPr>
      <w:r w:rsidRPr="0017450E">
        <w:rPr>
          <w:rFonts w:cs="Arial"/>
          <w:b/>
          <w:bCs/>
          <w:sz w:val="24"/>
          <w:szCs w:val="24"/>
        </w:rPr>
        <w:t>For any one claim Ins</w:t>
      </w:r>
      <w:r w:rsidR="00B555B6">
        <w:rPr>
          <w:rFonts w:cs="Arial"/>
          <w:b/>
          <w:bCs/>
          <w:sz w:val="24"/>
          <w:szCs w:val="24"/>
        </w:rPr>
        <w:t>urers will not pay more than</w:t>
      </w:r>
      <w:r w:rsidRPr="0017450E">
        <w:rPr>
          <w:rFonts w:cs="Arial"/>
          <w:b/>
          <w:bCs/>
          <w:sz w:val="24"/>
          <w:szCs w:val="24"/>
        </w:rPr>
        <w:t>:</w:t>
      </w:r>
    </w:p>
    <w:p w:rsidR="00BB27B4" w:rsidRPr="00975D5A" w:rsidRDefault="00BB27B4" w:rsidP="00975D5A">
      <w:pPr>
        <w:autoSpaceDE w:val="0"/>
        <w:autoSpaceDN w:val="0"/>
        <w:adjustRightInd w:val="0"/>
        <w:spacing w:after="0" w:line="240" w:lineRule="auto"/>
        <w:rPr>
          <w:rFonts w:cs="Arial"/>
          <w:b/>
          <w:bCs/>
          <w:sz w:val="16"/>
          <w:szCs w:val="16"/>
        </w:rPr>
      </w:pPr>
    </w:p>
    <w:tbl>
      <w:tblPr>
        <w:tblStyle w:val="TableGrid"/>
        <w:tblW w:w="0" w:type="auto"/>
        <w:tblLook w:val="04A0" w:firstRow="1" w:lastRow="0" w:firstColumn="1" w:lastColumn="0" w:noHBand="0" w:noVBand="1"/>
      </w:tblPr>
      <w:tblGrid>
        <w:gridCol w:w="4621"/>
        <w:gridCol w:w="4621"/>
      </w:tblGrid>
      <w:tr w:rsidR="00975D5A" w:rsidTr="00975D5A">
        <w:tc>
          <w:tcPr>
            <w:tcW w:w="4621" w:type="dxa"/>
            <w:shd w:val="clear" w:color="auto" w:fill="002060"/>
          </w:tcPr>
          <w:p w:rsidR="00975D5A" w:rsidRPr="00975D5A" w:rsidRDefault="00975D5A" w:rsidP="00975D5A">
            <w:pPr>
              <w:rPr>
                <w:rFonts w:cs="Arial"/>
                <w:b/>
                <w:color w:val="FFFFFF" w:themeColor="background1"/>
                <w:sz w:val="24"/>
                <w:szCs w:val="24"/>
              </w:rPr>
            </w:pPr>
            <w:r w:rsidRPr="00975D5A">
              <w:rPr>
                <w:rFonts w:cs="Arial"/>
                <w:b/>
                <w:color w:val="FFFFFF" w:themeColor="background1"/>
                <w:sz w:val="24"/>
                <w:szCs w:val="24"/>
              </w:rPr>
              <w:t>Perils</w:t>
            </w:r>
          </w:p>
        </w:tc>
        <w:tc>
          <w:tcPr>
            <w:tcW w:w="4621" w:type="dxa"/>
            <w:shd w:val="clear" w:color="auto" w:fill="002060"/>
          </w:tcPr>
          <w:p w:rsidR="00975D5A" w:rsidRPr="00975D5A" w:rsidRDefault="00975D5A" w:rsidP="00975D5A">
            <w:pPr>
              <w:rPr>
                <w:rFonts w:cs="Arial"/>
                <w:b/>
                <w:color w:val="FFFFFF" w:themeColor="background1"/>
                <w:sz w:val="24"/>
                <w:szCs w:val="24"/>
              </w:rPr>
            </w:pPr>
            <w:r w:rsidRPr="00975D5A">
              <w:rPr>
                <w:rFonts w:cs="Arial"/>
                <w:b/>
                <w:color w:val="FFFFFF" w:themeColor="background1"/>
                <w:sz w:val="24"/>
                <w:szCs w:val="24"/>
              </w:rPr>
              <w:t>Minimum Indemnity Levels</w:t>
            </w:r>
          </w:p>
        </w:tc>
      </w:tr>
      <w:tr w:rsidR="00975D5A" w:rsidTr="00975D5A">
        <w:tc>
          <w:tcPr>
            <w:tcW w:w="4621" w:type="dxa"/>
          </w:tcPr>
          <w:p w:rsidR="00975D5A" w:rsidRPr="00975D5A" w:rsidRDefault="00975D5A" w:rsidP="00BE0E95">
            <w:pPr>
              <w:rPr>
                <w:rFonts w:cs="Arial"/>
                <w:sz w:val="24"/>
                <w:szCs w:val="24"/>
              </w:rPr>
            </w:pPr>
            <w:r w:rsidRPr="00975D5A">
              <w:rPr>
                <w:rFonts w:cs="Arial"/>
                <w:sz w:val="24"/>
                <w:szCs w:val="24"/>
              </w:rPr>
              <w:t xml:space="preserve">Breakage of glass and mirrors </w:t>
            </w:r>
          </w:p>
        </w:tc>
        <w:tc>
          <w:tcPr>
            <w:tcW w:w="4621" w:type="dxa"/>
          </w:tcPr>
          <w:p w:rsidR="00975D5A" w:rsidRPr="00975D5A" w:rsidRDefault="00975D5A" w:rsidP="00BE0E95">
            <w:pPr>
              <w:rPr>
                <w:rFonts w:cs="Arial"/>
                <w:sz w:val="24"/>
                <w:szCs w:val="24"/>
              </w:rPr>
            </w:pPr>
            <w:r w:rsidRPr="00975D5A">
              <w:rPr>
                <w:rFonts w:cs="Arial"/>
                <w:sz w:val="24"/>
                <w:szCs w:val="24"/>
              </w:rPr>
              <w:t>the sum insured</w:t>
            </w:r>
          </w:p>
        </w:tc>
      </w:tr>
      <w:tr w:rsidR="00975D5A" w:rsidTr="00975D5A">
        <w:tc>
          <w:tcPr>
            <w:tcW w:w="4621" w:type="dxa"/>
          </w:tcPr>
          <w:p w:rsidR="00975D5A" w:rsidRPr="00975D5A" w:rsidRDefault="00975D5A" w:rsidP="00BE0E95">
            <w:pPr>
              <w:rPr>
                <w:rFonts w:cs="Arial"/>
                <w:sz w:val="24"/>
                <w:szCs w:val="24"/>
              </w:rPr>
            </w:pPr>
            <w:r w:rsidRPr="00975D5A">
              <w:rPr>
                <w:rFonts w:cs="Arial"/>
                <w:sz w:val="24"/>
                <w:szCs w:val="24"/>
              </w:rPr>
              <w:t xml:space="preserve">Damage to electrical equipment </w:t>
            </w:r>
          </w:p>
        </w:tc>
        <w:tc>
          <w:tcPr>
            <w:tcW w:w="4621" w:type="dxa"/>
          </w:tcPr>
          <w:p w:rsidR="00975D5A" w:rsidRPr="00975D5A" w:rsidRDefault="00975D5A" w:rsidP="00BE0E95">
            <w:pPr>
              <w:rPr>
                <w:rFonts w:cs="Arial"/>
                <w:sz w:val="24"/>
                <w:szCs w:val="24"/>
              </w:rPr>
            </w:pPr>
            <w:r w:rsidRPr="00975D5A">
              <w:rPr>
                <w:rFonts w:cs="Arial"/>
                <w:sz w:val="24"/>
                <w:szCs w:val="24"/>
              </w:rPr>
              <w:t>the sum insured</w:t>
            </w:r>
          </w:p>
        </w:tc>
      </w:tr>
      <w:tr w:rsidR="00975D5A" w:rsidTr="00975D5A">
        <w:tc>
          <w:tcPr>
            <w:tcW w:w="4621" w:type="dxa"/>
          </w:tcPr>
          <w:p w:rsidR="00975D5A" w:rsidRPr="00975D5A" w:rsidRDefault="00975D5A" w:rsidP="00BE0E95">
            <w:pPr>
              <w:rPr>
                <w:rFonts w:cs="Arial"/>
                <w:sz w:val="24"/>
                <w:szCs w:val="24"/>
              </w:rPr>
            </w:pPr>
            <w:r w:rsidRPr="00975D5A">
              <w:rPr>
                <w:rFonts w:cs="Arial"/>
                <w:sz w:val="24"/>
                <w:szCs w:val="24"/>
              </w:rPr>
              <w:t xml:space="preserve">Household Removal </w:t>
            </w:r>
          </w:p>
        </w:tc>
        <w:tc>
          <w:tcPr>
            <w:tcW w:w="4621" w:type="dxa"/>
          </w:tcPr>
          <w:p w:rsidR="00975D5A" w:rsidRPr="00975D5A" w:rsidRDefault="00975D5A" w:rsidP="00BE0E95">
            <w:pPr>
              <w:rPr>
                <w:rFonts w:cs="Arial"/>
                <w:sz w:val="24"/>
                <w:szCs w:val="24"/>
              </w:rPr>
            </w:pPr>
            <w:r w:rsidRPr="00975D5A">
              <w:rPr>
                <w:rFonts w:cs="Arial"/>
                <w:sz w:val="24"/>
                <w:szCs w:val="24"/>
              </w:rPr>
              <w:t>the sum insured</w:t>
            </w:r>
          </w:p>
        </w:tc>
      </w:tr>
      <w:tr w:rsidR="00975D5A" w:rsidTr="00975D5A">
        <w:tc>
          <w:tcPr>
            <w:tcW w:w="4621" w:type="dxa"/>
          </w:tcPr>
          <w:p w:rsidR="00975D5A" w:rsidRPr="00975D5A" w:rsidRDefault="00975D5A" w:rsidP="00BE0E95">
            <w:pPr>
              <w:rPr>
                <w:rFonts w:cs="Arial"/>
                <w:sz w:val="24"/>
                <w:szCs w:val="24"/>
              </w:rPr>
            </w:pPr>
            <w:r w:rsidRPr="00975D5A">
              <w:rPr>
                <w:rFonts w:cs="Arial"/>
                <w:sz w:val="24"/>
                <w:szCs w:val="24"/>
              </w:rPr>
              <w:t xml:space="preserve">Contents Temporarily Removed </w:t>
            </w:r>
          </w:p>
        </w:tc>
        <w:tc>
          <w:tcPr>
            <w:tcW w:w="4621" w:type="dxa"/>
          </w:tcPr>
          <w:p w:rsidR="00975D5A" w:rsidRPr="00975D5A" w:rsidRDefault="00975D5A" w:rsidP="00BE0E95">
            <w:pPr>
              <w:rPr>
                <w:rFonts w:cs="Arial"/>
                <w:sz w:val="24"/>
                <w:szCs w:val="24"/>
              </w:rPr>
            </w:pPr>
            <w:r w:rsidRPr="00975D5A">
              <w:rPr>
                <w:rFonts w:cs="Arial"/>
                <w:sz w:val="24"/>
                <w:szCs w:val="24"/>
              </w:rPr>
              <w:t xml:space="preserve">the sum insured </w:t>
            </w:r>
          </w:p>
        </w:tc>
      </w:tr>
      <w:tr w:rsidR="00975D5A" w:rsidTr="00975D5A">
        <w:tc>
          <w:tcPr>
            <w:tcW w:w="4621" w:type="dxa"/>
          </w:tcPr>
          <w:p w:rsidR="00975D5A" w:rsidRPr="00975D5A" w:rsidRDefault="00975D5A" w:rsidP="00BE0E95">
            <w:pPr>
              <w:rPr>
                <w:rFonts w:cs="Arial"/>
                <w:sz w:val="24"/>
                <w:szCs w:val="24"/>
              </w:rPr>
            </w:pPr>
            <w:r w:rsidRPr="00975D5A">
              <w:rPr>
                <w:rFonts w:cs="Arial"/>
                <w:sz w:val="24"/>
                <w:szCs w:val="24"/>
              </w:rPr>
              <w:t xml:space="preserve">Mugging/Hold up cover </w:t>
            </w:r>
          </w:p>
        </w:tc>
        <w:tc>
          <w:tcPr>
            <w:tcW w:w="4621" w:type="dxa"/>
          </w:tcPr>
          <w:p w:rsidR="00975D5A" w:rsidRPr="00975D5A" w:rsidRDefault="00975D5A" w:rsidP="00BE0E95">
            <w:pPr>
              <w:rPr>
                <w:rFonts w:cs="Arial"/>
                <w:sz w:val="24"/>
                <w:szCs w:val="24"/>
              </w:rPr>
            </w:pPr>
            <w:r w:rsidRPr="00975D5A">
              <w:rPr>
                <w:rFonts w:cs="Arial"/>
                <w:sz w:val="24"/>
                <w:szCs w:val="24"/>
              </w:rPr>
              <w:t>£300</w:t>
            </w:r>
          </w:p>
        </w:tc>
      </w:tr>
      <w:tr w:rsidR="00975D5A" w:rsidTr="00975D5A">
        <w:tc>
          <w:tcPr>
            <w:tcW w:w="4621" w:type="dxa"/>
          </w:tcPr>
          <w:p w:rsidR="00975D5A" w:rsidRPr="00975D5A" w:rsidRDefault="00975D5A" w:rsidP="00BE0E95">
            <w:pPr>
              <w:rPr>
                <w:rFonts w:cs="Arial"/>
                <w:sz w:val="24"/>
                <w:szCs w:val="24"/>
              </w:rPr>
            </w:pPr>
            <w:r w:rsidRPr="00975D5A">
              <w:rPr>
                <w:rFonts w:cs="Arial"/>
                <w:sz w:val="24"/>
                <w:szCs w:val="24"/>
              </w:rPr>
              <w:t xml:space="preserve">Loss of Rent &amp; Temp Accommodation </w:t>
            </w:r>
          </w:p>
        </w:tc>
        <w:tc>
          <w:tcPr>
            <w:tcW w:w="4621" w:type="dxa"/>
          </w:tcPr>
          <w:p w:rsidR="00975D5A" w:rsidRPr="00975D5A" w:rsidRDefault="00975D5A" w:rsidP="00BE0E95">
            <w:pPr>
              <w:rPr>
                <w:rFonts w:cs="Arial"/>
                <w:sz w:val="24"/>
                <w:szCs w:val="24"/>
              </w:rPr>
            </w:pPr>
            <w:r w:rsidRPr="00975D5A">
              <w:rPr>
                <w:rFonts w:cs="Arial"/>
                <w:sz w:val="24"/>
                <w:szCs w:val="24"/>
              </w:rPr>
              <w:t>20 % of the sum insured</w:t>
            </w:r>
          </w:p>
        </w:tc>
      </w:tr>
      <w:tr w:rsidR="00975D5A" w:rsidTr="00975D5A">
        <w:tc>
          <w:tcPr>
            <w:tcW w:w="4621" w:type="dxa"/>
          </w:tcPr>
          <w:p w:rsidR="00975D5A" w:rsidRPr="00975D5A" w:rsidRDefault="00975D5A" w:rsidP="00BE0E95">
            <w:pPr>
              <w:rPr>
                <w:rFonts w:cs="Arial"/>
                <w:sz w:val="24"/>
                <w:szCs w:val="24"/>
              </w:rPr>
            </w:pPr>
            <w:r w:rsidRPr="00975D5A">
              <w:rPr>
                <w:rFonts w:cs="Arial"/>
                <w:sz w:val="24"/>
                <w:szCs w:val="24"/>
              </w:rPr>
              <w:t xml:space="preserve">Loss and Theft Of Keys </w:t>
            </w:r>
          </w:p>
        </w:tc>
        <w:tc>
          <w:tcPr>
            <w:tcW w:w="4621" w:type="dxa"/>
          </w:tcPr>
          <w:p w:rsidR="00975D5A" w:rsidRPr="00975D5A" w:rsidRDefault="00975D5A" w:rsidP="00BE0E95">
            <w:pPr>
              <w:rPr>
                <w:rFonts w:cs="Arial"/>
                <w:sz w:val="24"/>
                <w:szCs w:val="24"/>
              </w:rPr>
            </w:pPr>
            <w:r w:rsidRPr="00975D5A">
              <w:rPr>
                <w:rFonts w:cs="Arial"/>
                <w:sz w:val="24"/>
                <w:szCs w:val="24"/>
              </w:rPr>
              <w:t>the sum insured</w:t>
            </w:r>
          </w:p>
        </w:tc>
      </w:tr>
      <w:tr w:rsidR="00975D5A" w:rsidTr="00975D5A">
        <w:tc>
          <w:tcPr>
            <w:tcW w:w="4621" w:type="dxa"/>
          </w:tcPr>
          <w:p w:rsidR="00975D5A" w:rsidRPr="00975D5A" w:rsidRDefault="00975D5A" w:rsidP="00BE0E95">
            <w:pPr>
              <w:rPr>
                <w:rFonts w:cs="Arial"/>
                <w:sz w:val="24"/>
                <w:szCs w:val="24"/>
              </w:rPr>
            </w:pPr>
            <w:r w:rsidRPr="00975D5A">
              <w:rPr>
                <w:rFonts w:cs="Arial"/>
                <w:sz w:val="24"/>
                <w:szCs w:val="24"/>
              </w:rPr>
              <w:t xml:space="preserve">Freezer Contents </w:t>
            </w:r>
          </w:p>
        </w:tc>
        <w:tc>
          <w:tcPr>
            <w:tcW w:w="4621" w:type="dxa"/>
          </w:tcPr>
          <w:p w:rsidR="00975D5A" w:rsidRPr="00975D5A" w:rsidRDefault="00975D5A" w:rsidP="00BE0E95">
            <w:pPr>
              <w:rPr>
                <w:rFonts w:cs="Arial"/>
                <w:sz w:val="24"/>
                <w:szCs w:val="24"/>
              </w:rPr>
            </w:pPr>
            <w:r w:rsidRPr="00975D5A">
              <w:rPr>
                <w:rFonts w:cs="Arial"/>
                <w:sz w:val="24"/>
                <w:szCs w:val="24"/>
              </w:rPr>
              <w:t>the sum insured</w:t>
            </w:r>
          </w:p>
        </w:tc>
      </w:tr>
      <w:tr w:rsidR="00975D5A" w:rsidTr="00975D5A">
        <w:tc>
          <w:tcPr>
            <w:tcW w:w="4621" w:type="dxa"/>
          </w:tcPr>
          <w:p w:rsidR="00975D5A" w:rsidRPr="00975D5A" w:rsidRDefault="00975D5A" w:rsidP="00BE0E95">
            <w:pPr>
              <w:rPr>
                <w:rFonts w:cs="Arial"/>
                <w:sz w:val="24"/>
                <w:szCs w:val="24"/>
              </w:rPr>
            </w:pPr>
            <w:r w:rsidRPr="00975D5A">
              <w:rPr>
                <w:rFonts w:cs="Arial"/>
                <w:sz w:val="24"/>
                <w:szCs w:val="24"/>
              </w:rPr>
              <w:t xml:space="preserve">Tenants Responsibility </w:t>
            </w:r>
          </w:p>
        </w:tc>
        <w:tc>
          <w:tcPr>
            <w:tcW w:w="4621" w:type="dxa"/>
          </w:tcPr>
          <w:p w:rsidR="00975D5A" w:rsidRPr="00975D5A" w:rsidRDefault="00975D5A" w:rsidP="00BE0E95">
            <w:pPr>
              <w:rPr>
                <w:rFonts w:cs="Arial"/>
                <w:sz w:val="24"/>
                <w:szCs w:val="24"/>
              </w:rPr>
            </w:pPr>
            <w:r w:rsidRPr="00975D5A">
              <w:rPr>
                <w:rFonts w:cs="Arial"/>
                <w:sz w:val="24"/>
                <w:szCs w:val="24"/>
              </w:rPr>
              <w:t>20 % of the sum insured</w:t>
            </w:r>
          </w:p>
        </w:tc>
      </w:tr>
      <w:tr w:rsidR="00975D5A" w:rsidTr="00975D5A">
        <w:tc>
          <w:tcPr>
            <w:tcW w:w="4621" w:type="dxa"/>
          </w:tcPr>
          <w:p w:rsidR="00975D5A" w:rsidRPr="00975D5A" w:rsidRDefault="00975D5A" w:rsidP="00BE0E95">
            <w:pPr>
              <w:rPr>
                <w:rFonts w:cs="Arial"/>
                <w:sz w:val="24"/>
                <w:szCs w:val="24"/>
              </w:rPr>
            </w:pPr>
            <w:r w:rsidRPr="00975D5A">
              <w:rPr>
                <w:rFonts w:cs="Arial"/>
                <w:sz w:val="24"/>
                <w:szCs w:val="24"/>
              </w:rPr>
              <w:t xml:space="preserve">Tenants Improvements </w:t>
            </w:r>
          </w:p>
        </w:tc>
        <w:tc>
          <w:tcPr>
            <w:tcW w:w="4621" w:type="dxa"/>
          </w:tcPr>
          <w:p w:rsidR="00975D5A" w:rsidRPr="00975D5A" w:rsidRDefault="00975D5A" w:rsidP="00BE0E95">
            <w:pPr>
              <w:rPr>
                <w:rFonts w:cs="Arial"/>
                <w:sz w:val="24"/>
                <w:szCs w:val="24"/>
              </w:rPr>
            </w:pPr>
            <w:r w:rsidRPr="00975D5A">
              <w:rPr>
                <w:rFonts w:cs="Arial"/>
                <w:sz w:val="24"/>
                <w:szCs w:val="24"/>
              </w:rPr>
              <w:t>£2,000</w:t>
            </w:r>
          </w:p>
        </w:tc>
      </w:tr>
      <w:tr w:rsidR="00975D5A" w:rsidTr="00975D5A">
        <w:tc>
          <w:tcPr>
            <w:tcW w:w="4621" w:type="dxa"/>
          </w:tcPr>
          <w:p w:rsidR="00975D5A" w:rsidRPr="00975D5A" w:rsidRDefault="00975D5A" w:rsidP="00BE0E95">
            <w:pPr>
              <w:rPr>
                <w:rFonts w:cs="Arial"/>
                <w:sz w:val="24"/>
                <w:szCs w:val="24"/>
              </w:rPr>
            </w:pPr>
            <w:r w:rsidRPr="00975D5A">
              <w:rPr>
                <w:rFonts w:cs="Arial"/>
                <w:sz w:val="24"/>
                <w:szCs w:val="24"/>
              </w:rPr>
              <w:t xml:space="preserve">Loss of Metered Water and Oil </w:t>
            </w:r>
          </w:p>
        </w:tc>
        <w:tc>
          <w:tcPr>
            <w:tcW w:w="4621" w:type="dxa"/>
          </w:tcPr>
          <w:p w:rsidR="00975D5A" w:rsidRPr="00975D5A" w:rsidRDefault="00975D5A" w:rsidP="00BE0E95">
            <w:pPr>
              <w:rPr>
                <w:rFonts w:cs="Arial"/>
                <w:sz w:val="24"/>
                <w:szCs w:val="24"/>
              </w:rPr>
            </w:pPr>
            <w:r w:rsidRPr="00975D5A">
              <w:rPr>
                <w:rFonts w:cs="Arial"/>
                <w:sz w:val="24"/>
                <w:szCs w:val="24"/>
              </w:rPr>
              <w:t>£1,000</w:t>
            </w:r>
          </w:p>
        </w:tc>
      </w:tr>
      <w:tr w:rsidR="00975D5A" w:rsidTr="00975D5A">
        <w:tc>
          <w:tcPr>
            <w:tcW w:w="4621" w:type="dxa"/>
          </w:tcPr>
          <w:p w:rsidR="00975D5A" w:rsidRPr="00975D5A" w:rsidRDefault="00975D5A" w:rsidP="00D3711A">
            <w:pPr>
              <w:rPr>
                <w:rFonts w:cs="Arial"/>
                <w:sz w:val="24"/>
                <w:szCs w:val="24"/>
              </w:rPr>
            </w:pPr>
            <w:r w:rsidRPr="00975D5A">
              <w:rPr>
                <w:rFonts w:cs="Arial"/>
                <w:sz w:val="24"/>
                <w:szCs w:val="24"/>
              </w:rPr>
              <w:t xml:space="preserve">Contents In The Open </w:t>
            </w:r>
          </w:p>
        </w:tc>
        <w:tc>
          <w:tcPr>
            <w:tcW w:w="4621" w:type="dxa"/>
          </w:tcPr>
          <w:p w:rsidR="00975D5A" w:rsidRPr="00975D5A" w:rsidRDefault="00975D5A" w:rsidP="00D3711A">
            <w:pPr>
              <w:rPr>
                <w:rFonts w:cs="Arial"/>
                <w:sz w:val="24"/>
                <w:szCs w:val="24"/>
              </w:rPr>
            </w:pPr>
            <w:r w:rsidRPr="00975D5A">
              <w:rPr>
                <w:rFonts w:cs="Arial"/>
                <w:sz w:val="24"/>
                <w:szCs w:val="24"/>
              </w:rPr>
              <w:t>£500</w:t>
            </w:r>
          </w:p>
        </w:tc>
      </w:tr>
      <w:tr w:rsidR="00975D5A" w:rsidTr="00975D5A">
        <w:tc>
          <w:tcPr>
            <w:tcW w:w="4621" w:type="dxa"/>
          </w:tcPr>
          <w:p w:rsidR="00975D5A" w:rsidRPr="00975D5A" w:rsidRDefault="00975D5A" w:rsidP="00CD1349">
            <w:pPr>
              <w:rPr>
                <w:rFonts w:cs="Arial"/>
                <w:sz w:val="24"/>
                <w:szCs w:val="24"/>
              </w:rPr>
            </w:pPr>
            <w:r w:rsidRPr="00975D5A">
              <w:rPr>
                <w:rFonts w:cs="Arial"/>
                <w:sz w:val="24"/>
                <w:szCs w:val="24"/>
              </w:rPr>
              <w:t xml:space="preserve">Wedding/ Christmas/Religious Gifts </w:t>
            </w:r>
          </w:p>
        </w:tc>
        <w:tc>
          <w:tcPr>
            <w:tcW w:w="4621" w:type="dxa"/>
          </w:tcPr>
          <w:p w:rsidR="00975D5A" w:rsidRPr="00975D5A" w:rsidRDefault="00975D5A" w:rsidP="00CD1349">
            <w:pPr>
              <w:rPr>
                <w:rFonts w:cs="Arial"/>
                <w:sz w:val="24"/>
                <w:szCs w:val="24"/>
              </w:rPr>
            </w:pPr>
            <w:r w:rsidRPr="00975D5A">
              <w:rPr>
                <w:rFonts w:cs="Arial"/>
                <w:sz w:val="24"/>
                <w:szCs w:val="24"/>
              </w:rPr>
              <w:t>£1,500</w:t>
            </w:r>
          </w:p>
        </w:tc>
      </w:tr>
      <w:tr w:rsidR="00975D5A" w:rsidTr="00975D5A">
        <w:tc>
          <w:tcPr>
            <w:tcW w:w="4621" w:type="dxa"/>
          </w:tcPr>
          <w:p w:rsidR="00975D5A" w:rsidRPr="00975D5A" w:rsidRDefault="00975D5A" w:rsidP="004F3705">
            <w:pPr>
              <w:rPr>
                <w:rFonts w:cs="Arial"/>
                <w:sz w:val="24"/>
                <w:szCs w:val="24"/>
              </w:rPr>
            </w:pPr>
            <w:r w:rsidRPr="00975D5A">
              <w:rPr>
                <w:rFonts w:cs="Arial"/>
                <w:sz w:val="24"/>
                <w:szCs w:val="24"/>
              </w:rPr>
              <w:t xml:space="preserve">Students Personal Belongings </w:t>
            </w:r>
          </w:p>
        </w:tc>
        <w:tc>
          <w:tcPr>
            <w:tcW w:w="4621" w:type="dxa"/>
          </w:tcPr>
          <w:p w:rsidR="00975D5A" w:rsidRPr="00975D5A" w:rsidRDefault="00975D5A" w:rsidP="004F3705">
            <w:pPr>
              <w:rPr>
                <w:rFonts w:cs="Arial"/>
                <w:sz w:val="24"/>
                <w:szCs w:val="24"/>
              </w:rPr>
            </w:pPr>
            <w:r w:rsidRPr="00975D5A">
              <w:rPr>
                <w:rFonts w:cs="Arial"/>
                <w:sz w:val="24"/>
                <w:szCs w:val="24"/>
              </w:rPr>
              <w:t>£2,500</w:t>
            </w:r>
          </w:p>
        </w:tc>
      </w:tr>
      <w:tr w:rsidR="00975D5A" w:rsidTr="00975D5A">
        <w:tc>
          <w:tcPr>
            <w:tcW w:w="4621" w:type="dxa"/>
          </w:tcPr>
          <w:p w:rsidR="00975D5A" w:rsidRPr="00975D5A" w:rsidRDefault="00975D5A" w:rsidP="004F3705">
            <w:pPr>
              <w:rPr>
                <w:rFonts w:cs="Arial"/>
                <w:sz w:val="24"/>
                <w:szCs w:val="24"/>
              </w:rPr>
            </w:pPr>
            <w:r w:rsidRPr="00975D5A">
              <w:rPr>
                <w:rFonts w:cs="Arial"/>
                <w:sz w:val="24"/>
                <w:szCs w:val="24"/>
              </w:rPr>
              <w:lastRenderedPageBreak/>
              <w:t xml:space="preserve">Replacing Documents </w:t>
            </w:r>
          </w:p>
        </w:tc>
        <w:tc>
          <w:tcPr>
            <w:tcW w:w="4621" w:type="dxa"/>
          </w:tcPr>
          <w:p w:rsidR="00975D5A" w:rsidRPr="00975D5A" w:rsidRDefault="00975D5A" w:rsidP="004F3705">
            <w:pPr>
              <w:rPr>
                <w:rFonts w:cs="Arial"/>
                <w:sz w:val="24"/>
                <w:szCs w:val="24"/>
              </w:rPr>
            </w:pPr>
            <w:r w:rsidRPr="00975D5A">
              <w:rPr>
                <w:rFonts w:cs="Arial"/>
                <w:sz w:val="24"/>
                <w:szCs w:val="24"/>
              </w:rPr>
              <w:t>£1,000</w:t>
            </w:r>
          </w:p>
        </w:tc>
      </w:tr>
      <w:tr w:rsidR="00975D5A" w:rsidTr="00975D5A">
        <w:tc>
          <w:tcPr>
            <w:tcW w:w="4621" w:type="dxa"/>
          </w:tcPr>
          <w:p w:rsidR="00975D5A" w:rsidRPr="00975D5A" w:rsidRDefault="00975D5A" w:rsidP="004F3705">
            <w:pPr>
              <w:rPr>
                <w:rFonts w:cs="Arial"/>
                <w:sz w:val="24"/>
                <w:szCs w:val="24"/>
              </w:rPr>
            </w:pPr>
            <w:r w:rsidRPr="00975D5A">
              <w:rPr>
                <w:rFonts w:cs="Arial"/>
                <w:sz w:val="24"/>
                <w:szCs w:val="24"/>
              </w:rPr>
              <w:t xml:space="preserve">Third Party Liability </w:t>
            </w:r>
          </w:p>
        </w:tc>
        <w:tc>
          <w:tcPr>
            <w:tcW w:w="4621" w:type="dxa"/>
          </w:tcPr>
          <w:p w:rsidR="00975D5A" w:rsidRPr="00975D5A" w:rsidRDefault="00975D5A" w:rsidP="004F3705">
            <w:pPr>
              <w:rPr>
                <w:rFonts w:cs="Arial"/>
                <w:sz w:val="24"/>
                <w:szCs w:val="24"/>
              </w:rPr>
            </w:pPr>
            <w:r w:rsidRPr="00975D5A">
              <w:rPr>
                <w:rFonts w:cs="Arial"/>
                <w:sz w:val="24"/>
                <w:szCs w:val="24"/>
              </w:rPr>
              <w:t>£2.5m</w:t>
            </w:r>
          </w:p>
        </w:tc>
      </w:tr>
      <w:tr w:rsidR="00975D5A" w:rsidTr="00975D5A">
        <w:tc>
          <w:tcPr>
            <w:tcW w:w="4621" w:type="dxa"/>
          </w:tcPr>
          <w:p w:rsidR="00975D5A" w:rsidRPr="00975D5A" w:rsidRDefault="00975D5A" w:rsidP="004F3705">
            <w:pPr>
              <w:rPr>
                <w:rFonts w:cs="Arial"/>
                <w:sz w:val="24"/>
                <w:szCs w:val="24"/>
              </w:rPr>
            </w:pPr>
            <w:r w:rsidRPr="00975D5A">
              <w:rPr>
                <w:rFonts w:cs="Arial"/>
                <w:sz w:val="24"/>
                <w:szCs w:val="24"/>
              </w:rPr>
              <w:t xml:space="preserve">Third Party Liability (employees) </w:t>
            </w:r>
          </w:p>
        </w:tc>
        <w:tc>
          <w:tcPr>
            <w:tcW w:w="4621" w:type="dxa"/>
          </w:tcPr>
          <w:p w:rsidR="00975D5A" w:rsidRPr="00975D5A" w:rsidRDefault="00975D5A" w:rsidP="004F3705">
            <w:pPr>
              <w:rPr>
                <w:rFonts w:cs="Arial"/>
                <w:sz w:val="24"/>
                <w:szCs w:val="24"/>
              </w:rPr>
            </w:pPr>
            <w:r w:rsidRPr="00975D5A">
              <w:rPr>
                <w:rFonts w:cs="Arial"/>
                <w:sz w:val="24"/>
                <w:szCs w:val="24"/>
              </w:rPr>
              <w:t>£5m</w:t>
            </w:r>
          </w:p>
        </w:tc>
      </w:tr>
      <w:tr w:rsidR="00975D5A" w:rsidTr="00975D5A">
        <w:tc>
          <w:tcPr>
            <w:tcW w:w="4621" w:type="dxa"/>
          </w:tcPr>
          <w:p w:rsidR="00975D5A" w:rsidRPr="00975D5A" w:rsidRDefault="00975D5A" w:rsidP="004F3705">
            <w:pPr>
              <w:rPr>
                <w:rFonts w:cs="Arial"/>
                <w:sz w:val="24"/>
                <w:szCs w:val="24"/>
              </w:rPr>
            </w:pPr>
            <w:r w:rsidRPr="00975D5A">
              <w:rPr>
                <w:rFonts w:cs="Arial"/>
                <w:sz w:val="24"/>
                <w:szCs w:val="24"/>
              </w:rPr>
              <w:t xml:space="preserve">Court Awards </w:t>
            </w:r>
          </w:p>
        </w:tc>
        <w:tc>
          <w:tcPr>
            <w:tcW w:w="4621" w:type="dxa"/>
          </w:tcPr>
          <w:p w:rsidR="00975D5A" w:rsidRPr="00975D5A" w:rsidRDefault="00975D5A" w:rsidP="004F3705">
            <w:pPr>
              <w:rPr>
                <w:rFonts w:cs="Arial"/>
                <w:sz w:val="24"/>
                <w:szCs w:val="24"/>
              </w:rPr>
            </w:pPr>
            <w:r w:rsidRPr="00975D5A">
              <w:rPr>
                <w:rFonts w:cs="Arial"/>
                <w:sz w:val="24"/>
                <w:szCs w:val="24"/>
              </w:rPr>
              <w:t>£1m</w:t>
            </w:r>
          </w:p>
        </w:tc>
      </w:tr>
      <w:tr w:rsidR="00975D5A" w:rsidTr="00975D5A">
        <w:tc>
          <w:tcPr>
            <w:tcW w:w="4621" w:type="dxa"/>
          </w:tcPr>
          <w:p w:rsidR="00975D5A" w:rsidRPr="00975D5A" w:rsidRDefault="00975D5A" w:rsidP="004F3705">
            <w:pPr>
              <w:rPr>
                <w:rFonts w:cs="Arial"/>
                <w:sz w:val="24"/>
                <w:szCs w:val="24"/>
              </w:rPr>
            </w:pPr>
            <w:r w:rsidRPr="00975D5A">
              <w:rPr>
                <w:rFonts w:cs="Arial"/>
                <w:sz w:val="24"/>
                <w:szCs w:val="24"/>
              </w:rPr>
              <w:t xml:space="preserve">Accidental Death </w:t>
            </w:r>
          </w:p>
        </w:tc>
        <w:tc>
          <w:tcPr>
            <w:tcW w:w="4621" w:type="dxa"/>
          </w:tcPr>
          <w:p w:rsidR="00975D5A" w:rsidRPr="00975D5A" w:rsidRDefault="00522606" w:rsidP="004F3705">
            <w:pPr>
              <w:rPr>
                <w:rFonts w:cs="Arial"/>
                <w:sz w:val="24"/>
                <w:szCs w:val="24"/>
              </w:rPr>
            </w:pPr>
            <w:r>
              <w:rPr>
                <w:rFonts w:cs="Arial"/>
                <w:sz w:val="24"/>
                <w:szCs w:val="24"/>
              </w:rPr>
              <w:t>£7,</w:t>
            </w:r>
            <w:r w:rsidR="00975D5A" w:rsidRPr="00975D5A">
              <w:rPr>
                <w:rFonts w:cs="Arial"/>
                <w:sz w:val="24"/>
                <w:szCs w:val="24"/>
              </w:rPr>
              <w:t>500</w:t>
            </w:r>
          </w:p>
        </w:tc>
      </w:tr>
      <w:tr w:rsidR="00975D5A" w:rsidTr="00975D5A">
        <w:tc>
          <w:tcPr>
            <w:tcW w:w="4621" w:type="dxa"/>
          </w:tcPr>
          <w:p w:rsidR="00975D5A" w:rsidRPr="00975D5A" w:rsidRDefault="00975D5A" w:rsidP="004F3705">
            <w:pPr>
              <w:rPr>
                <w:rFonts w:cs="Arial"/>
                <w:sz w:val="24"/>
                <w:szCs w:val="24"/>
              </w:rPr>
            </w:pPr>
            <w:r w:rsidRPr="00975D5A">
              <w:rPr>
                <w:rFonts w:cs="Arial"/>
                <w:sz w:val="24"/>
                <w:szCs w:val="24"/>
              </w:rPr>
              <w:t xml:space="preserve">Visitors Personal Possessions </w:t>
            </w:r>
          </w:p>
        </w:tc>
        <w:tc>
          <w:tcPr>
            <w:tcW w:w="4621" w:type="dxa"/>
          </w:tcPr>
          <w:p w:rsidR="00975D5A" w:rsidRPr="00975D5A" w:rsidRDefault="00975D5A" w:rsidP="004F3705">
            <w:pPr>
              <w:rPr>
                <w:rFonts w:cs="Arial"/>
                <w:sz w:val="24"/>
                <w:szCs w:val="24"/>
              </w:rPr>
            </w:pPr>
            <w:r w:rsidRPr="00975D5A">
              <w:rPr>
                <w:rFonts w:cs="Arial"/>
                <w:sz w:val="24"/>
                <w:szCs w:val="24"/>
              </w:rPr>
              <w:t>£750</w:t>
            </w:r>
          </w:p>
        </w:tc>
      </w:tr>
      <w:tr w:rsidR="00975D5A" w:rsidTr="00975D5A">
        <w:tc>
          <w:tcPr>
            <w:tcW w:w="4621" w:type="dxa"/>
          </w:tcPr>
          <w:p w:rsidR="00975D5A" w:rsidRPr="00975D5A" w:rsidRDefault="00975D5A" w:rsidP="004F3705">
            <w:pPr>
              <w:rPr>
                <w:rFonts w:cs="Arial"/>
                <w:sz w:val="24"/>
                <w:szCs w:val="24"/>
              </w:rPr>
            </w:pPr>
            <w:r w:rsidRPr="00975D5A">
              <w:rPr>
                <w:rFonts w:cs="Arial"/>
                <w:sz w:val="24"/>
                <w:szCs w:val="24"/>
              </w:rPr>
              <w:t xml:space="preserve">Emergency Access </w:t>
            </w:r>
          </w:p>
        </w:tc>
        <w:tc>
          <w:tcPr>
            <w:tcW w:w="4621" w:type="dxa"/>
          </w:tcPr>
          <w:p w:rsidR="00975D5A" w:rsidRPr="00975D5A" w:rsidRDefault="00975D5A" w:rsidP="004F3705">
            <w:pPr>
              <w:rPr>
                <w:rFonts w:cs="Arial"/>
                <w:sz w:val="24"/>
                <w:szCs w:val="24"/>
              </w:rPr>
            </w:pPr>
            <w:r w:rsidRPr="00975D5A">
              <w:rPr>
                <w:rFonts w:cs="Arial"/>
                <w:sz w:val="24"/>
                <w:szCs w:val="24"/>
              </w:rPr>
              <w:t>£750</w:t>
            </w:r>
          </w:p>
        </w:tc>
      </w:tr>
      <w:tr w:rsidR="00975D5A" w:rsidTr="00975D5A">
        <w:tc>
          <w:tcPr>
            <w:tcW w:w="4621" w:type="dxa"/>
          </w:tcPr>
          <w:p w:rsidR="00975D5A" w:rsidRPr="00975D5A" w:rsidRDefault="00975D5A" w:rsidP="004F3705">
            <w:pPr>
              <w:rPr>
                <w:rFonts w:cs="Arial"/>
                <w:sz w:val="24"/>
                <w:szCs w:val="24"/>
              </w:rPr>
            </w:pPr>
            <w:r w:rsidRPr="00975D5A">
              <w:rPr>
                <w:rFonts w:cs="Arial"/>
                <w:sz w:val="24"/>
                <w:szCs w:val="24"/>
              </w:rPr>
              <w:t xml:space="preserve">Shopping in Transit </w:t>
            </w:r>
          </w:p>
        </w:tc>
        <w:tc>
          <w:tcPr>
            <w:tcW w:w="4621" w:type="dxa"/>
          </w:tcPr>
          <w:p w:rsidR="00975D5A" w:rsidRPr="00975D5A" w:rsidRDefault="00975D5A" w:rsidP="004F3705">
            <w:pPr>
              <w:rPr>
                <w:rFonts w:cs="Arial"/>
                <w:sz w:val="24"/>
                <w:szCs w:val="24"/>
              </w:rPr>
            </w:pPr>
            <w:r w:rsidRPr="00975D5A">
              <w:rPr>
                <w:rFonts w:cs="Arial"/>
                <w:sz w:val="24"/>
                <w:szCs w:val="24"/>
              </w:rPr>
              <w:t>£200</w:t>
            </w:r>
          </w:p>
        </w:tc>
      </w:tr>
      <w:tr w:rsidR="00975D5A" w:rsidTr="00975D5A">
        <w:tc>
          <w:tcPr>
            <w:tcW w:w="4621" w:type="dxa"/>
          </w:tcPr>
          <w:p w:rsidR="00975D5A" w:rsidRPr="00975D5A" w:rsidRDefault="00975D5A" w:rsidP="004F3705">
            <w:pPr>
              <w:rPr>
                <w:rFonts w:cs="Arial"/>
                <w:sz w:val="24"/>
                <w:szCs w:val="24"/>
              </w:rPr>
            </w:pPr>
            <w:r w:rsidRPr="00975D5A">
              <w:rPr>
                <w:rFonts w:cs="Arial"/>
                <w:sz w:val="24"/>
                <w:szCs w:val="24"/>
              </w:rPr>
              <w:t xml:space="preserve">Valuables </w:t>
            </w:r>
          </w:p>
        </w:tc>
        <w:tc>
          <w:tcPr>
            <w:tcW w:w="4621" w:type="dxa"/>
          </w:tcPr>
          <w:p w:rsidR="00975D5A" w:rsidRPr="00975D5A" w:rsidRDefault="00975D5A" w:rsidP="004F3705">
            <w:pPr>
              <w:rPr>
                <w:rFonts w:cs="Arial"/>
                <w:sz w:val="24"/>
                <w:szCs w:val="24"/>
              </w:rPr>
            </w:pPr>
            <w:r w:rsidRPr="00975D5A">
              <w:rPr>
                <w:rFonts w:cs="Arial"/>
                <w:sz w:val="24"/>
                <w:szCs w:val="24"/>
              </w:rPr>
              <w:t>33.3% of the sum insured or £5,000 (whichever is the greater)</w:t>
            </w:r>
          </w:p>
        </w:tc>
      </w:tr>
      <w:tr w:rsidR="00975D5A" w:rsidTr="00975D5A">
        <w:tc>
          <w:tcPr>
            <w:tcW w:w="4621" w:type="dxa"/>
          </w:tcPr>
          <w:p w:rsidR="00975D5A" w:rsidRPr="00975D5A" w:rsidRDefault="00975D5A" w:rsidP="00F06B2B">
            <w:pPr>
              <w:rPr>
                <w:rFonts w:cs="Arial"/>
                <w:sz w:val="24"/>
                <w:szCs w:val="24"/>
              </w:rPr>
            </w:pPr>
            <w:r w:rsidRPr="00975D5A">
              <w:rPr>
                <w:rFonts w:cs="Arial"/>
                <w:sz w:val="24"/>
                <w:szCs w:val="24"/>
              </w:rPr>
              <w:t xml:space="preserve">Individual Valuable Item Limit </w:t>
            </w:r>
          </w:p>
        </w:tc>
        <w:tc>
          <w:tcPr>
            <w:tcW w:w="4621" w:type="dxa"/>
          </w:tcPr>
          <w:p w:rsidR="00975D5A" w:rsidRPr="00975D5A" w:rsidRDefault="00522606" w:rsidP="00F06B2B">
            <w:pPr>
              <w:rPr>
                <w:rFonts w:cs="Arial"/>
                <w:sz w:val="24"/>
                <w:szCs w:val="24"/>
              </w:rPr>
            </w:pPr>
            <w:r>
              <w:rPr>
                <w:rFonts w:cs="Arial"/>
                <w:sz w:val="24"/>
                <w:szCs w:val="24"/>
              </w:rPr>
              <w:t>£1,</w:t>
            </w:r>
            <w:r w:rsidR="00975D5A" w:rsidRPr="00975D5A">
              <w:rPr>
                <w:rFonts w:cs="Arial"/>
                <w:sz w:val="24"/>
                <w:szCs w:val="24"/>
              </w:rPr>
              <w:t>500</w:t>
            </w:r>
          </w:p>
        </w:tc>
      </w:tr>
      <w:tr w:rsidR="00975D5A" w:rsidTr="00975D5A">
        <w:tc>
          <w:tcPr>
            <w:tcW w:w="4621" w:type="dxa"/>
          </w:tcPr>
          <w:p w:rsidR="00975D5A" w:rsidRPr="00975D5A" w:rsidRDefault="00975D5A" w:rsidP="00F06B2B">
            <w:pPr>
              <w:rPr>
                <w:rFonts w:cs="Arial"/>
                <w:sz w:val="24"/>
                <w:szCs w:val="24"/>
              </w:rPr>
            </w:pPr>
            <w:r w:rsidRPr="00975D5A">
              <w:rPr>
                <w:rFonts w:cs="Arial"/>
                <w:sz w:val="24"/>
                <w:szCs w:val="24"/>
              </w:rPr>
              <w:t xml:space="preserve">Money </w:t>
            </w:r>
          </w:p>
        </w:tc>
        <w:tc>
          <w:tcPr>
            <w:tcW w:w="4621" w:type="dxa"/>
          </w:tcPr>
          <w:p w:rsidR="00975D5A" w:rsidRPr="00975D5A" w:rsidRDefault="00975D5A" w:rsidP="00F06B2B">
            <w:pPr>
              <w:rPr>
                <w:rFonts w:cs="Arial"/>
                <w:sz w:val="24"/>
                <w:szCs w:val="24"/>
              </w:rPr>
            </w:pPr>
            <w:r w:rsidRPr="00975D5A">
              <w:rPr>
                <w:rFonts w:cs="Arial"/>
                <w:sz w:val="24"/>
                <w:szCs w:val="24"/>
              </w:rPr>
              <w:t>£250</w:t>
            </w:r>
          </w:p>
        </w:tc>
      </w:tr>
      <w:tr w:rsidR="00975D5A" w:rsidTr="00975D5A">
        <w:tc>
          <w:tcPr>
            <w:tcW w:w="4621" w:type="dxa"/>
          </w:tcPr>
          <w:p w:rsidR="00975D5A" w:rsidRPr="00975D5A" w:rsidRDefault="00975D5A" w:rsidP="00F06B2B">
            <w:pPr>
              <w:rPr>
                <w:rFonts w:cs="Arial"/>
                <w:sz w:val="24"/>
                <w:szCs w:val="24"/>
              </w:rPr>
            </w:pPr>
            <w:r w:rsidRPr="00975D5A">
              <w:rPr>
                <w:rFonts w:cs="Arial"/>
                <w:sz w:val="24"/>
                <w:szCs w:val="24"/>
              </w:rPr>
              <w:t xml:space="preserve">Credit Cards </w:t>
            </w:r>
          </w:p>
        </w:tc>
        <w:tc>
          <w:tcPr>
            <w:tcW w:w="4621" w:type="dxa"/>
          </w:tcPr>
          <w:p w:rsidR="00975D5A" w:rsidRPr="00975D5A" w:rsidRDefault="00975D5A" w:rsidP="00F06B2B">
            <w:pPr>
              <w:rPr>
                <w:rFonts w:cs="Arial"/>
                <w:sz w:val="24"/>
                <w:szCs w:val="24"/>
              </w:rPr>
            </w:pPr>
            <w:r w:rsidRPr="00975D5A">
              <w:rPr>
                <w:rFonts w:cs="Arial"/>
                <w:sz w:val="24"/>
                <w:szCs w:val="24"/>
              </w:rPr>
              <w:t>£500 per card</w:t>
            </w:r>
          </w:p>
        </w:tc>
      </w:tr>
      <w:tr w:rsidR="00975D5A" w:rsidTr="00975D5A">
        <w:tc>
          <w:tcPr>
            <w:tcW w:w="4621" w:type="dxa"/>
          </w:tcPr>
          <w:p w:rsidR="00975D5A" w:rsidRPr="00975D5A" w:rsidRDefault="00975D5A" w:rsidP="00F06B2B">
            <w:pPr>
              <w:rPr>
                <w:rFonts w:cs="Arial"/>
                <w:sz w:val="24"/>
                <w:szCs w:val="24"/>
              </w:rPr>
            </w:pPr>
            <w:r w:rsidRPr="00975D5A">
              <w:rPr>
                <w:rFonts w:cs="Arial"/>
                <w:sz w:val="24"/>
                <w:szCs w:val="24"/>
              </w:rPr>
              <w:t xml:space="preserve">Tapes/Discs/Records </w:t>
            </w:r>
          </w:p>
        </w:tc>
        <w:tc>
          <w:tcPr>
            <w:tcW w:w="4621" w:type="dxa"/>
          </w:tcPr>
          <w:p w:rsidR="00975D5A" w:rsidRPr="00975D5A" w:rsidRDefault="00975D5A" w:rsidP="00F06B2B">
            <w:pPr>
              <w:rPr>
                <w:rFonts w:cs="Arial"/>
                <w:sz w:val="24"/>
                <w:szCs w:val="24"/>
              </w:rPr>
            </w:pPr>
            <w:r w:rsidRPr="00975D5A">
              <w:rPr>
                <w:rFonts w:cs="Arial"/>
                <w:sz w:val="24"/>
                <w:szCs w:val="24"/>
              </w:rPr>
              <w:t>£1,000</w:t>
            </w:r>
          </w:p>
        </w:tc>
      </w:tr>
      <w:tr w:rsidR="00975D5A" w:rsidTr="00975D5A">
        <w:tc>
          <w:tcPr>
            <w:tcW w:w="4621" w:type="dxa"/>
          </w:tcPr>
          <w:p w:rsidR="00975D5A" w:rsidRPr="00975D5A" w:rsidRDefault="00975D5A" w:rsidP="00F06B2B">
            <w:pPr>
              <w:rPr>
                <w:rFonts w:cs="Arial"/>
                <w:sz w:val="24"/>
                <w:szCs w:val="24"/>
              </w:rPr>
            </w:pPr>
            <w:r w:rsidRPr="00975D5A">
              <w:rPr>
                <w:rFonts w:cs="Arial"/>
                <w:sz w:val="24"/>
                <w:szCs w:val="24"/>
              </w:rPr>
              <w:t xml:space="preserve">Theft from Outbuildings </w:t>
            </w:r>
          </w:p>
        </w:tc>
        <w:tc>
          <w:tcPr>
            <w:tcW w:w="4621" w:type="dxa"/>
          </w:tcPr>
          <w:p w:rsidR="00975D5A" w:rsidRPr="00975D5A" w:rsidRDefault="00975D5A" w:rsidP="00F06B2B">
            <w:pPr>
              <w:rPr>
                <w:rFonts w:cs="Arial"/>
                <w:sz w:val="24"/>
                <w:szCs w:val="24"/>
              </w:rPr>
            </w:pPr>
            <w:r w:rsidRPr="00975D5A">
              <w:rPr>
                <w:rFonts w:cs="Arial"/>
                <w:sz w:val="24"/>
                <w:szCs w:val="24"/>
              </w:rPr>
              <w:t>£2,000</w:t>
            </w:r>
          </w:p>
        </w:tc>
      </w:tr>
      <w:tr w:rsidR="00975D5A" w:rsidTr="00975D5A">
        <w:tc>
          <w:tcPr>
            <w:tcW w:w="4621" w:type="dxa"/>
          </w:tcPr>
          <w:p w:rsidR="00975D5A" w:rsidRPr="00975D5A" w:rsidRDefault="00975D5A" w:rsidP="00F06B2B">
            <w:pPr>
              <w:rPr>
                <w:rFonts w:cs="Arial"/>
                <w:sz w:val="24"/>
                <w:szCs w:val="24"/>
              </w:rPr>
            </w:pPr>
            <w:r w:rsidRPr="00975D5A">
              <w:rPr>
                <w:rFonts w:cs="Arial"/>
                <w:sz w:val="24"/>
                <w:szCs w:val="24"/>
              </w:rPr>
              <w:t xml:space="preserve">Theft from Garages away from the home </w:t>
            </w:r>
          </w:p>
        </w:tc>
        <w:tc>
          <w:tcPr>
            <w:tcW w:w="4621" w:type="dxa"/>
          </w:tcPr>
          <w:p w:rsidR="00975D5A" w:rsidRPr="00975D5A" w:rsidRDefault="00975D5A" w:rsidP="00F06B2B">
            <w:pPr>
              <w:rPr>
                <w:rFonts w:cs="Arial"/>
                <w:sz w:val="24"/>
                <w:szCs w:val="24"/>
              </w:rPr>
            </w:pPr>
            <w:r w:rsidRPr="00975D5A">
              <w:rPr>
                <w:rFonts w:cs="Arial"/>
                <w:sz w:val="24"/>
                <w:szCs w:val="24"/>
              </w:rPr>
              <w:t>£200</w:t>
            </w:r>
          </w:p>
        </w:tc>
      </w:tr>
      <w:tr w:rsidR="00975D5A" w:rsidTr="00975D5A">
        <w:tc>
          <w:tcPr>
            <w:tcW w:w="4621" w:type="dxa"/>
          </w:tcPr>
          <w:p w:rsidR="00975D5A" w:rsidRPr="00975D5A" w:rsidRDefault="00975D5A" w:rsidP="00F06B2B">
            <w:pPr>
              <w:rPr>
                <w:rFonts w:cs="Arial"/>
                <w:sz w:val="24"/>
                <w:szCs w:val="24"/>
              </w:rPr>
            </w:pPr>
            <w:r w:rsidRPr="00975D5A">
              <w:rPr>
                <w:rFonts w:cs="Arial"/>
                <w:sz w:val="24"/>
                <w:szCs w:val="24"/>
              </w:rPr>
              <w:t xml:space="preserve">Bogus Officials (See theft peril) </w:t>
            </w:r>
          </w:p>
        </w:tc>
        <w:tc>
          <w:tcPr>
            <w:tcW w:w="4621" w:type="dxa"/>
          </w:tcPr>
          <w:p w:rsidR="00975D5A" w:rsidRPr="00975D5A" w:rsidRDefault="00975D5A" w:rsidP="00F06B2B">
            <w:pPr>
              <w:rPr>
                <w:rFonts w:cs="Arial"/>
                <w:sz w:val="24"/>
                <w:szCs w:val="24"/>
              </w:rPr>
            </w:pPr>
            <w:r w:rsidRPr="00975D5A">
              <w:rPr>
                <w:rFonts w:cs="Arial"/>
                <w:sz w:val="24"/>
                <w:szCs w:val="24"/>
              </w:rPr>
              <w:t>the sum insured</w:t>
            </w:r>
          </w:p>
        </w:tc>
      </w:tr>
      <w:tr w:rsidR="00975D5A" w:rsidTr="00975D5A">
        <w:tc>
          <w:tcPr>
            <w:tcW w:w="4621" w:type="dxa"/>
          </w:tcPr>
          <w:p w:rsidR="00975D5A" w:rsidRPr="00975D5A" w:rsidRDefault="00975D5A" w:rsidP="00F06B2B">
            <w:pPr>
              <w:rPr>
                <w:rFonts w:cs="Arial"/>
                <w:sz w:val="24"/>
                <w:szCs w:val="24"/>
              </w:rPr>
            </w:pPr>
            <w:r w:rsidRPr="00975D5A">
              <w:rPr>
                <w:rFonts w:cs="Arial"/>
                <w:sz w:val="24"/>
                <w:szCs w:val="24"/>
              </w:rPr>
              <w:t xml:space="preserve">Unoccupancy </w:t>
            </w:r>
          </w:p>
        </w:tc>
        <w:tc>
          <w:tcPr>
            <w:tcW w:w="4621" w:type="dxa"/>
          </w:tcPr>
          <w:p w:rsidR="00975D5A" w:rsidRPr="00975D5A" w:rsidRDefault="00975D5A" w:rsidP="00F06B2B">
            <w:pPr>
              <w:rPr>
                <w:rFonts w:cs="Arial"/>
                <w:sz w:val="24"/>
                <w:szCs w:val="24"/>
              </w:rPr>
            </w:pPr>
            <w:r w:rsidRPr="00975D5A">
              <w:rPr>
                <w:rFonts w:cs="Arial"/>
                <w:sz w:val="24"/>
                <w:szCs w:val="24"/>
              </w:rPr>
              <w:t>60 days in a row</w:t>
            </w:r>
          </w:p>
        </w:tc>
      </w:tr>
    </w:tbl>
    <w:p w:rsidR="00975D5A" w:rsidRPr="0017450E" w:rsidRDefault="00975D5A" w:rsidP="00BB27B4">
      <w:pPr>
        <w:autoSpaceDE w:val="0"/>
        <w:autoSpaceDN w:val="0"/>
        <w:adjustRightInd w:val="0"/>
        <w:spacing w:after="0" w:line="240" w:lineRule="auto"/>
        <w:rPr>
          <w:rFonts w:cs="Arial"/>
          <w:b/>
          <w:bCs/>
          <w:sz w:val="24"/>
          <w:szCs w:val="24"/>
        </w:rPr>
      </w:pPr>
    </w:p>
    <w:p w:rsidR="00BB27B4" w:rsidRPr="00C13476" w:rsidRDefault="00BB27B4" w:rsidP="00BB27B4">
      <w:pPr>
        <w:autoSpaceDE w:val="0"/>
        <w:autoSpaceDN w:val="0"/>
        <w:adjustRightInd w:val="0"/>
        <w:spacing w:after="0" w:line="240" w:lineRule="auto"/>
        <w:rPr>
          <w:rFonts w:cs="Arial"/>
          <w:sz w:val="24"/>
          <w:szCs w:val="24"/>
        </w:rPr>
      </w:pPr>
      <w:r w:rsidRPr="00C13476">
        <w:rPr>
          <w:rFonts w:cs="Arial"/>
          <w:bCs/>
          <w:sz w:val="24"/>
          <w:szCs w:val="24"/>
        </w:rPr>
        <w:t xml:space="preserve">Standard Cover Policy Excess </w:t>
      </w:r>
      <w:r w:rsidR="00C87F55" w:rsidRPr="00C13476">
        <w:rPr>
          <w:rFonts w:cs="Arial"/>
          <w:bCs/>
          <w:sz w:val="24"/>
          <w:szCs w:val="24"/>
        </w:rPr>
        <w:t xml:space="preserve"> </w:t>
      </w:r>
      <w:r w:rsidR="00C87F55" w:rsidRPr="00C13476">
        <w:rPr>
          <w:rFonts w:cs="Arial"/>
          <w:bCs/>
          <w:sz w:val="24"/>
          <w:szCs w:val="24"/>
        </w:rPr>
        <w:tab/>
      </w:r>
      <w:r w:rsidR="00C87F55" w:rsidRPr="00C13476">
        <w:rPr>
          <w:rFonts w:cs="Arial"/>
          <w:bCs/>
          <w:sz w:val="24"/>
          <w:szCs w:val="24"/>
        </w:rPr>
        <w:tab/>
      </w:r>
      <w:r w:rsidRPr="00C13476">
        <w:rPr>
          <w:rFonts w:cs="Arial"/>
          <w:sz w:val="24"/>
          <w:szCs w:val="24"/>
        </w:rPr>
        <w:t>Nil</w:t>
      </w:r>
    </w:p>
    <w:p w:rsidR="00C13476" w:rsidRDefault="00C87F55" w:rsidP="00BB27B4">
      <w:pPr>
        <w:autoSpaceDE w:val="0"/>
        <w:autoSpaceDN w:val="0"/>
        <w:adjustRightInd w:val="0"/>
        <w:spacing w:after="0" w:line="240" w:lineRule="auto"/>
        <w:rPr>
          <w:rFonts w:eastAsiaTheme="minorHAnsi" w:cs="Arial"/>
          <w:color w:val="auto"/>
          <w:sz w:val="24"/>
          <w:szCs w:val="24"/>
        </w:rPr>
      </w:pPr>
      <w:r w:rsidRPr="00C13476">
        <w:rPr>
          <w:rFonts w:eastAsiaTheme="minorHAnsi" w:cs="Arial"/>
          <w:color w:val="auto"/>
          <w:sz w:val="24"/>
          <w:szCs w:val="24"/>
        </w:rPr>
        <w:t xml:space="preserve">Accidental damage </w:t>
      </w:r>
      <w:r w:rsidRPr="00C13476">
        <w:rPr>
          <w:rFonts w:cs="Arial"/>
          <w:bCs/>
          <w:sz w:val="24"/>
          <w:szCs w:val="24"/>
        </w:rPr>
        <w:t xml:space="preserve">Policy Excess  </w:t>
      </w:r>
      <w:r w:rsidRPr="00C13476">
        <w:rPr>
          <w:rFonts w:eastAsiaTheme="minorHAnsi" w:cs="Arial"/>
          <w:color w:val="auto"/>
          <w:sz w:val="24"/>
          <w:szCs w:val="24"/>
        </w:rPr>
        <w:tab/>
      </w:r>
      <w:r w:rsidR="0045619A" w:rsidRPr="00C13476">
        <w:rPr>
          <w:rFonts w:eastAsiaTheme="minorHAnsi" w:cs="Arial"/>
          <w:color w:val="auto"/>
          <w:sz w:val="24"/>
          <w:szCs w:val="24"/>
        </w:rPr>
        <w:t xml:space="preserve">Available </w:t>
      </w:r>
      <w:r w:rsidRPr="00C13476">
        <w:rPr>
          <w:rFonts w:eastAsiaTheme="minorHAnsi" w:cs="Arial"/>
          <w:color w:val="auto"/>
          <w:sz w:val="24"/>
          <w:szCs w:val="24"/>
        </w:rPr>
        <w:t>Nil</w:t>
      </w:r>
    </w:p>
    <w:p w:rsidR="00975D5A" w:rsidRPr="00C13476" w:rsidRDefault="00975D5A" w:rsidP="00BB27B4">
      <w:pPr>
        <w:autoSpaceDE w:val="0"/>
        <w:autoSpaceDN w:val="0"/>
        <w:adjustRightInd w:val="0"/>
        <w:spacing w:after="0" w:line="240" w:lineRule="auto"/>
        <w:rPr>
          <w:rFonts w:eastAsiaTheme="minorHAnsi" w:cs="Arial"/>
          <w:color w:val="auto"/>
          <w:sz w:val="24"/>
          <w:szCs w:val="24"/>
        </w:rPr>
      </w:pPr>
    </w:p>
    <w:p w:rsidR="00C13476" w:rsidRDefault="00F63031" w:rsidP="00C13476">
      <w:pPr>
        <w:autoSpaceDE w:val="0"/>
        <w:autoSpaceDN w:val="0"/>
        <w:adjustRightInd w:val="0"/>
        <w:spacing w:after="0" w:line="240" w:lineRule="auto"/>
        <w:rPr>
          <w:rFonts w:cs="Arial"/>
          <w:bCs/>
          <w:sz w:val="24"/>
          <w:szCs w:val="24"/>
        </w:rPr>
      </w:pPr>
      <w:r w:rsidRPr="00C13476">
        <w:rPr>
          <w:rFonts w:cs="Arial"/>
          <w:bCs/>
          <w:sz w:val="24"/>
          <w:szCs w:val="24"/>
        </w:rPr>
        <w:t>In</w:t>
      </w:r>
      <w:r w:rsidR="008911AF" w:rsidRPr="00C13476">
        <w:rPr>
          <w:rFonts w:cs="Arial"/>
          <w:bCs/>
          <w:sz w:val="24"/>
          <w:szCs w:val="24"/>
        </w:rPr>
        <w:t xml:space="preserve"> addition to the above</w:t>
      </w:r>
      <w:r w:rsidRPr="00C13476">
        <w:rPr>
          <w:rFonts w:cs="Arial"/>
          <w:bCs/>
          <w:sz w:val="24"/>
          <w:szCs w:val="24"/>
        </w:rPr>
        <w:t>,</w:t>
      </w:r>
      <w:r w:rsidR="008911AF" w:rsidRPr="00C13476">
        <w:rPr>
          <w:rFonts w:cs="Arial"/>
          <w:bCs/>
          <w:sz w:val="24"/>
          <w:szCs w:val="24"/>
        </w:rPr>
        <w:t xml:space="preserve"> the council also requires optional </w:t>
      </w:r>
      <w:r w:rsidR="008775F9" w:rsidRPr="00C13476">
        <w:rPr>
          <w:rFonts w:cs="Arial"/>
          <w:bCs/>
          <w:sz w:val="24"/>
          <w:szCs w:val="24"/>
        </w:rPr>
        <w:t>extensions cover</w:t>
      </w:r>
      <w:r w:rsidR="008911AF" w:rsidRPr="00C13476">
        <w:rPr>
          <w:rFonts w:cs="Arial"/>
          <w:bCs/>
          <w:sz w:val="24"/>
          <w:szCs w:val="24"/>
        </w:rPr>
        <w:t xml:space="preserve"> detailed below</w:t>
      </w:r>
      <w:r w:rsidR="00C13476">
        <w:rPr>
          <w:rFonts w:cs="Arial"/>
          <w:bCs/>
          <w:sz w:val="24"/>
          <w:szCs w:val="24"/>
        </w:rPr>
        <w:t>;</w:t>
      </w:r>
    </w:p>
    <w:p w:rsidR="008911AF" w:rsidRPr="00C13476" w:rsidRDefault="00523149" w:rsidP="00C13476">
      <w:pPr>
        <w:pStyle w:val="ListParagraph"/>
        <w:numPr>
          <w:ilvl w:val="0"/>
          <w:numId w:val="13"/>
        </w:numPr>
        <w:autoSpaceDE w:val="0"/>
        <w:autoSpaceDN w:val="0"/>
        <w:adjustRightInd w:val="0"/>
        <w:spacing w:after="0" w:line="240" w:lineRule="auto"/>
        <w:rPr>
          <w:rFonts w:cs="Arial"/>
          <w:bCs/>
          <w:sz w:val="24"/>
          <w:szCs w:val="24"/>
        </w:rPr>
      </w:pPr>
      <w:r w:rsidRPr="00C13476">
        <w:rPr>
          <w:rFonts w:cs="Arial"/>
          <w:sz w:val="24"/>
          <w:szCs w:val="24"/>
          <w:lang w:eastAsia="en-GB"/>
        </w:rPr>
        <w:t xml:space="preserve">Personal </w:t>
      </w:r>
      <w:r w:rsidR="00522606">
        <w:rPr>
          <w:rFonts w:cs="Arial"/>
          <w:sz w:val="24"/>
          <w:szCs w:val="24"/>
          <w:lang w:eastAsia="en-GB"/>
        </w:rPr>
        <w:t>Possessions</w:t>
      </w:r>
    </w:p>
    <w:p w:rsidR="00DE12A9" w:rsidRPr="00C13476" w:rsidRDefault="00522606" w:rsidP="00C13476">
      <w:pPr>
        <w:pStyle w:val="ListParagraph"/>
        <w:numPr>
          <w:ilvl w:val="0"/>
          <w:numId w:val="13"/>
        </w:numPr>
        <w:spacing w:after="120" w:line="240" w:lineRule="auto"/>
        <w:rPr>
          <w:rFonts w:cs="Arial"/>
          <w:sz w:val="24"/>
          <w:szCs w:val="24"/>
          <w:lang w:eastAsia="en-GB"/>
        </w:rPr>
      </w:pPr>
      <w:r>
        <w:rPr>
          <w:rFonts w:cs="Arial"/>
          <w:sz w:val="24"/>
          <w:szCs w:val="24"/>
          <w:lang w:eastAsia="en-GB"/>
        </w:rPr>
        <w:t>Structure cover for Garden Huts, Garages, Greenhouses</w:t>
      </w:r>
    </w:p>
    <w:p w:rsidR="008911AF" w:rsidRPr="00C13476" w:rsidRDefault="00523149" w:rsidP="00C13476">
      <w:pPr>
        <w:pStyle w:val="ListParagraph"/>
        <w:numPr>
          <w:ilvl w:val="0"/>
          <w:numId w:val="13"/>
        </w:numPr>
        <w:spacing w:after="120" w:line="240" w:lineRule="auto"/>
        <w:rPr>
          <w:rFonts w:cs="Arial"/>
          <w:sz w:val="24"/>
          <w:szCs w:val="24"/>
          <w:lang w:eastAsia="en-GB"/>
        </w:rPr>
      </w:pPr>
      <w:r w:rsidRPr="00C13476">
        <w:rPr>
          <w:rFonts w:cs="Arial"/>
          <w:sz w:val="24"/>
          <w:szCs w:val="24"/>
          <w:lang w:eastAsia="en-GB"/>
        </w:rPr>
        <w:t>Hearing Aids</w:t>
      </w:r>
    </w:p>
    <w:p w:rsidR="00DE12A9" w:rsidRDefault="00523149" w:rsidP="00C13476">
      <w:pPr>
        <w:pStyle w:val="ListParagraph"/>
        <w:numPr>
          <w:ilvl w:val="0"/>
          <w:numId w:val="13"/>
        </w:numPr>
        <w:spacing w:after="120" w:line="240" w:lineRule="auto"/>
        <w:rPr>
          <w:rFonts w:cs="Arial"/>
          <w:sz w:val="24"/>
          <w:szCs w:val="24"/>
          <w:lang w:eastAsia="en-GB"/>
        </w:rPr>
      </w:pPr>
      <w:r w:rsidRPr="00C13476">
        <w:rPr>
          <w:rFonts w:cs="Arial"/>
          <w:sz w:val="24"/>
          <w:szCs w:val="24"/>
          <w:lang w:eastAsia="en-GB"/>
        </w:rPr>
        <w:t>Wheelchairs/Mobility Scooter</w:t>
      </w:r>
      <w:r w:rsidR="00522606">
        <w:rPr>
          <w:rFonts w:cs="Arial"/>
          <w:sz w:val="24"/>
          <w:szCs w:val="24"/>
          <w:lang w:eastAsia="en-GB"/>
        </w:rPr>
        <w:t>s</w:t>
      </w:r>
    </w:p>
    <w:p w:rsidR="00C13476" w:rsidRPr="00C13476" w:rsidRDefault="00C13476" w:rsidP="00C13476">
      <w:pPr>
        <w:pStyle w:val="ListParagraph"/>
        <w:spacing w:after="120" w:line="240" w:lineRule="auto"/>
        <w:ind w:left="360"/>
        <w:rPr>
          <w:rFonts w:cs="Arial"/>
          <w:sz w:val="24"/>
          <w:szCs w:val="24"/>
          <w:lang w:eastAsia="en-GB"/>
        </w:rPr>
      </w:pPr>
    </w:p>
    <w:p w:rsidR="00C13476" w:rsidRDefault="008911AF" w:rsidP="00C13476">
      <w:pPr>
        <w:autoSpaceDE w:val="0"/>
        <w:autoSpaceDN w:val="0"/>
        <w:adjustRightInd w:val="0"/>
        <w:spacing w:after="0" w:line="240" w:lineRule="auto"/>
        <w:rPr>
          <w:rFonts w:cs="Arial"/>
          <w:bCs/>
          <w:sz w:val="24"/>
          <w:szCs w:val="24"/>
        </w:rPr>
      </w:pPr>
      <w:r w:rsidRPr="00C13476">
        <w:rPr>
          <w:rFonts w:cs="Arial"/>
          <w:bCs/>
          <w:sz w:val="24"/>
          <w:szCs w:val="24"/>
        </w:rPr>
        <w:t>Any other e</w:t>
      </w:r>
      <w:r w:rsidR="00BB27B4" w:rsidRPr="00C13476">
        <w:rPr>
          <w:rFonts w:cs="Arial"/>
          <w:bCs/>
          <w:sz w:val="24"/>
          <w:szCs w:val="24"/>
        </w:rPr>
        <w:t>xtensions</w:t>
      </w:r>
      <w:r w:rsidR="004F1982" w:rsidRPr="00C13476">
        <w:rPr>
          <w:rFonts w:cs="Arial"/>
          <w:bCs/>
          <w:sz w:val="24"/>
          <w:szCs w:val="24"/>
        </w:rPr>
        <w:t xml:space="preserve"> w</w:t>
      </w:r>
      <w:r w:rsidR="00C87F55" w:rsidRPr="00C13476">
        <w:rPr>
          <w:rFonts w:cs="Arial"/>
          <w:bCs/>
          <w:sz w:val="24"/>
          <w:szCs w:val="24"/>
        </w:rPr>
        <w:t xml:space="preserve">ill be welcome </w:t>
      </w:r>
    </w:p>
    <w:p w:rsidR="00C13476" w:rsidRPr="00C13476" w:rsidRDefault="00C13476" w:rsidP="00C13476">
      <w:pPr>
        <w:autoSpaceDE w:val="0"/>
        <w:autoSpaceDN w:val="0"/>
        <w:adjustRightInd w:val="0"/>
        <w:spacing w:after="0" w:line="240" w:lineRule="auto"/>
        <w:ind w:left="720"/>
        <w:rPr>
          <w:rFonts w:cs="Arial"/>
          <w:bCs/>
          <w:sz w:val="24"/>
          <w:szCs w:val="24"/>
        </w:rPr>
      </w:pPr>
    </w:p>
    <w:p w:rsidR="00F63031" w:rsidRDefault="002C18D7" w:rsidP="00D67FE4">
      <w:pPr>
        <w:spacing w:before="0" w:after="0" w:line="240" w:lineRule="auto"/>
        <w:jc w:val="both"/>
        <w:rPr>
          <w:rFonts w:cs="Arial"/>
          <w:b/>
          <w:color w:val="auto"/>
          <w:sz w:val="24"/>
          <w:szCs w:val="24"/>
          <w:lang w:val="en-AU"/>
        </w:rPr>
      </w:pPr>
      <w:r w:rsidRPr="00C13476">
        <w:rPr>
          <w:rFonts w:cs="Arial"/>
          <w:b/>
          <w:color w:val="auto"/>
          <w:sz w:val="24"/>
          <w:szCs w:val="24"/>
          <w:u w:val="single"/>
          <w:lang w:val="en-AU"/>
        </w:rPr>
        <w:t>Scope</w:t>
      </w:r>
    </w:p>
    <w:p w:rsidR="00C13476" w:rsidRPr="00C13476" w:rsidRDefault="00C13476" w:rsidP="00D67FE4">
      <w:pPr>
        <w:spacing w:before="0" w:after="0" w:line="240" w:lineRule="auto"/>
        <w:jc w:val="both"/>
        <w:rPr>
          <w:rFonts w:cs="Arial"/>
          <w:b/>
          <w:color w:val="auto"/>
          <w:sz w:val="24"/>
          <w:szCs w:val="24"/>
          <w:lang w:val="en-AU"/>
        </w:rPr>
      </w:pPr>
    </w:p>
    <w:p w:rsidR="00561A8B" w:rsidRPr="001F1DBC" w:rsidRDefault="00561A8B" w:rsidP="00D67FE4">
      <w:pPr>
        <w:spacing w:before="0" w:after="0" w:line="240" w:lineRule="auto"/>
        <w:jc w:val="both"/>
        <w:rPr>
          <w:rFonts w:cs="Arial"/>
          <w:color w:val="auto"/>
          <w:sz w:val="24"/>
          <w:szCs w:val="24"/>
          <w:lang w:val="en-AU"/>
        </w:rPr>
      </w:pPr>
      <w:r w:rsidRPr="001F1DBC">
        <w:rPr>
          <w:rFonts w:cs="Arial"/>
          <w:color w:val="auto"/>
          <w:sz w:val="24"/>
          <w:szCs w:val="24"/>
          <w:lang w:val="en-AU"/>
        </w:rPr>
        <w:t xml:space="preserve">The scope and requirements of the </w:t>
      </w:r>
      <w:r w:rsidR="004E2BC1" w:rsidRPr="001F1DBC">
        <w:rPr>
          <w:rFonts w:cs="Arial"/>
          <w:color w:val="auto"/>
          <w:sz w:val="24"/>
          <w:szCs w:val="24"/>
          <w:lang w:eastAsia="en-GB"/>
        </w:rPr>
        <w:t>Service Provider’s</w:t>
      </w:r>
      <w:r w:rsidR="00F63031" w:rsidRPr="001F1DBC">
        <w:rPr>
          <w:rFonts w:cs="Arial"/>
          <w:color w:val="auto"/>
          <w:sz w:val="24"/>
          <w:szCs w:val="24"/>
          <w:lang w:val="en-AU"/>
        </w:rPr>
        <w:t xml:space="preserve"> service and work to be</w:t>
      </w:r>
      <w:r w:rsidR="0052404B" w:rsidRPr="001F1DBC">
        <w:rPr>
          <w:rFonts w:cs="Arial"/>
          <w:color w:val="auto"/>
          <w:sz w:val="24"/>
          <w:szCs w:val="24"/>
          <w:lang w:val="en-AU"/>
        </w:rPr>
        <w:t xml:space="preserve"> </w:t>
      </w:r>
      <w:r w:rsidRPr="001F1DBC">
        <w:rPr>
          <w:rFonts w:cs="Arial"/>
          <w:color w:val="auto"/>
          <w:sz w:val="24"/>
          <w:szCs w:val="24"/>
          <w:lang w:val="en-AU"/>
        </w:rPr>
        <w:t xml:space="preserve">undertaken by the </w:t>
      </w:r>
      <w:r w:rsidR="004E2BC1" w:rsidRPr="001F1DBC">
        <w:rPr>
          <w:rFonts w:cs="Arial"/>
          <w:color w:val="auto"/>
          <w:sz w:val="24"/>
          <w:szCs w:val="24"/>
          <w:lang w:eastAsia="en-GB"/>
        </w:rPr>
        <w:t xml:space="preserve">Service Provider </w:t>
      </w:r>
      <w:r w:rsidR="004E2BC1" w:rsidRPr="001F1DBC">
        <w:rPr>
          <w:rFonts w:cs="Arial"/>
          <w:color w:val="auto"/>
          <w:sz w:val="24"/>
          <w:szCs w:val="24"/>
          <w:lang w:val="en-AU"/>
        </w:rPr>
        <w:t>is</w:t>
      </w:r>
      <w:r w:rsidRPr="001F1DBC">
        <w:rPr>
          <w:rFonts w:cs="Arial"/>
          <w:color w:val="auto"/>
          <w:sz w:val="24"/>
          <w:szCs w:val="24"/>
          <w:lang w:val="en-AU"/>
        </w:rPr>
        <w:t xml:space="preserve"> detailed below – along with outline insurance information.  Any additional information required for the tendering exercise will be made available, on request, to the</w:t>
      </w:r>
      <w:r w:rsidRPr="001F1DBC">
        <w:rPr>
          <w:rFonts w:cs="Arial"/>
          <w:color w:val="auto"/>
          <w:sz w:val="24"/>
          <w:szCs w:val="24"/>
          <w:lang w:eastAsia="en-GB"/>
        </w:rPr>
        <w:t xml:space="preserve"> </w:t>
      </w:r>
      <w:r w:rsidR="004E2BC1" w:rsidRPr="001F1DBC">
        <w:rPr>
          <w:rFonts w:cs="Arial"/>
          <w:color w:val="auto"/>
          <w:sz w:val="24"/>
          <w:szCs w:val="24"/>
          <w:lang w:eastAsia="en-GB"/>
        </w:rPr>
        <w:t xml:space="preserve">Service Provider </w:t>
      </w:r>
      <w:r w:rsidR="004E2BC1" w:rsidRPr="001F1DBC">
        <w:rPr>
          <w:rFonts w:cs="Arial"/>
          <w:color w:val="auto"/>
          <w:sz w:val="24"/>
          <w:szCs w:val="24"/>
          <w:lang w:val="en-AU"/>
        </w:rPr>
        <w:t>(</w:t>
      </w:r>
      <w:r w:rsidRPr="001F1DBC">
        <w:rPr>
          <w:rFonts w:cs="Arial"/>
          <w:color w:val="auto"/>
          <w:sz w:val="24"/>
          <w:szCs w:val="24"/>
          <w:lang w:val="en-AU"/>
        </w:rPr>
        <w:t>subject to availability)</w:t>
      </w:r>
      <w:r w:rsidR="005871EC" w:rsidRPr="001F1DBC">
        <w:rPr>
          <w:rFonts w:cs="Arial"/>
          <w:color w:val="auto"/>
          <w:sz w:val="24"/>
          <w:szCs w:val="24"/>
          <w:lang w:val="en-AU"/>
        </w:rPr>
        <w:t>.</w:t>
      </w:r>
    </w:p>
    <w:p w:rsidR="00561A8B" w:rsidRPr="00561A8B" w:rsidRDefault="005871EC" w:rsidP="00C13476">
      <w:pPr>
        <w:spacing w:line="240" w:lineRule="auto"/>
        <w:jc w:val="both"/>
        <w:rPr>
          <w:rFonts w:cs="Arial"/>
          <w:color w:val="auto"/>
          <w:sz w:val="24"/>
          <w:szCs w:val="24"/>
          <w:lang w:val="en-AU"/>
        </w:rPr>
      </w:pPr>
      <w:r>
        <w:rPr>
          <w:rFonts w:cs="Arial"/>
          <w:color w:val="auto"/>
          <w:sz w:val="24"/>
          <w:szCs w:val="24"/>
          <w:lang w:val="en-AU"/>
        </w:rPr>
        <w:lastRenderedPageBreak/>
        <w:t xml:space="preserve">The </w:t>
      </w:r>
      <w:r w:rsidR="004E2BC1">
        <w:rPr>
          <w:rFonts w:cs="Arial"/>
          <w:color w:val="auto"/>
          <w:sz w:val="24"/>
          <w:szCs w:val="24"/>
          <w:lang w:val="en-AU"/>
        </w:rPr>
        <w:t>Service Provider should</w:t>
      </w:r>
      <w:r w:rsidR="00354D10">
        <w:rPr>
          <w:rFonts w:cs="Arial"/>
          <w:color w:val="auto"/>
          <w:sz w:val="24"/>
          <w:szCs w:val="24"/>
          <w:lang w:val="en-AU"/>
        </w:rPr>
        <w:t xml:space="preserve"> be able </w:t>
      </w:r>
      <w:r w:rsidR="00561A8B" w:rsidRPr="00561A8B">
        <w:rPr>
          <w:rFonts w:cs="Arial"/>
          <w:color w:val="auto"/>
          <w:sz w:val="24"/>
          <w:szCs w:val="24"/>
          <w:lang w:val="en-AU"/>
        </w:rPr>
        <w:t>to demonstrate a proven track record of administering this type of insura</w:t>
      </w:r>
      <w:r w:rsidR="00F63031">
        <w:rPr>
          <w:rFonts w:cs="Arial"/>
          <w:color w:val="auto"/>
          <w:sz w:val="24"/>
          <w:szCs w:val="24"/>
          <w:lang w:val="en-AU"/>
        </w:rPr>
        <w:t>nce, a commitment to ensure</w:t>
      </w:r>
      <w:r w:rsidR="00561A8B" w:rsidRPr="00561A8B">
        <w:rPr>
          <w:rFonts w:cs="Arial"/>
          <w:color w:val="auto"/>
          <w:sz w:val="24"/>
          <w:szCs w:val="24"/>
          <w:lang w:val="en-AU"/>
        </w:rPr>
        <w:t xml:space="preserve"> the council receive value for mo</w:t>
      </w:r>
      <w:r w:rsidR="00354D10">
        <w:rPr>
          <w:rFonts w:cs="Arial"/>
          <w:color w:val="auto"/>
          <w:sz w:val="24"/>
          <w:szCs w:val="24"/>
          <w:lang w:val="en-AU"/>
        </w:rPr>
        <w:t>ney for their tenants a</w:t>
      </w:r>
      <w:r w:rsidR="00F63031">
        <w:rPr>
          <w:rFonts w:cs="Arial"/>
          <w:color w:val="auto"/>
          <w:sz w:val="24"/>
          <w:szCs w:val="24"/>
          <w:lang w:val="en-AU"/>
        </w:rPr>
        <w:t>t the</w:t>
      </w:r>
      <w:r w:rsidR="00354D10">
        <w:rPr>
          <w:rFonts w:cs="Arial"/>
          <w:color w:val="auto"/>
          <w:sz w:val="24"/>
          <w:szCs w:val="24"/>
          <w:lang w:val="en-AU"/>
        </w:rPr>
        <w:t xml:space="preserve"> price</w:t>
      </w:r>
      <w:r w:rsidR="00F63031">
        <w:rPr>
          <w:rFonts w:cs="Arial"/>
          <w:color w:val="auto"/>
          <w:sz w:val="24"/>
          <w:szCs w:val="24"/>
          <w:lang w:val="en-AU"/>
        </w:rPr>
        <w:t>,</w:t>
      </w:r>
      <w:r w:rsidR="00354D10">
        <w:rPr>
          <w:rFonts w:cs="Arial"/>
          <w:color w:val="auto"/>
          <w:sz w:val="24"/>
          <w:szCs w:val="24"/>
          <w:lang w:val="en-AU"/>
        </w:rPr>
        <w:t xml:space="preserve"> </w:t>
      </w:r>
      <w:r w:rsidR="00354D10" w:rsidRPr="00354D10">
        <w:rPr>
          <w:rFonts w:cs="Arial"/>
          <w:color w:val="auto"/>
          <w:sz w:val="24"/>
          <w:szCs w:val="24"/>
          <w:lang w:val="en-AU"/>
        </w:rPr>
        <w:t>demonstrate a full understanding of the scheme offered</w:t>
      </w:r>
      <w:r w:rsidR="00354D10">
        <w:rPr>
          <w:rFonts w:cs="Arial"/>
          <w:color w:val="auto"/>
          <w:sz w:val="24"/>
          <w:szCs w:val="24"/>
          <w:lang w:val="en-AU"/>
        </w:rPr>
        <w:t xml:space="preserve"> </w:t>
      </w:r>
      <w:r w:rsidR="00354D10" w:rsidRPr="00354D10">
        <w:rPr>
          <w:rFonts w:cs="Arial"/>
          <w:color w:val="auto"/>
          <w:sz w:val="24"/>
          <w:szCs w:val="24"/>
          <w:lang w:val="en-AU"/>
        </w:rPr>
        <w:t>and have an un</w:t>
      </w:r>
      <w:r w:rsidR="00813BE6">
        <w:rPr>
          <w:rFonts w:cs="Arial"/>
          <w:color w:val="auto"/>
          <w:sz w:val="24"/>
          <w:szCs w:val="24"/>
          <w:lang w:val="en-AU"/>
        </w:rPr>
        <w:t>derstanding of social housing.</w:t>
      </w:r>
    </w:p>
    <w:p w:rsidR="00561A8B" w:rsidRPr="001F1DBC" w:rsidRDefault="00561A8B" w:rsidP="00354D10">
      <w:pPr>
        <w:spacing w:before="0" w:after="0" w:line="240" w:lineRule="auto"/>
        <w:jc w:val="both"/>
        <w:rPr>
          <w:rFonts w:cs="Arial"/>
          <w:color w:val="auto"/>
          <w:sz w:val="24"/>
          <w:szCs w:val="24"/>
          <w:lang w:val="en-AU"/>
        </w:rPr>
      </w:pPr>
      <w:r w:rsidRPr="001F1DBC">
        <w:rPr>
          <w:rFonts w:cs="Arial"/>
          <w:color w:val="auto"/>
          <w:sz w:val="24"/>
          <w:szCs w:val="24"/>
          <w:lang w:val="en-AU"/>
        </w:rPr>
        <w:t xml:space="preserve">The scheme proposed to us by the </w:t>
      </w:r>
      <w:r w:rsidR="004E2BC1" w:rsidRPr="001F1DBC">
        <w:rPr>
          <w:rFonts w:cs="Arial"/>
          <w:color w:val="auto"/>
          <w:sz w:val="24"/>
          <w:szCs w:val="24"/>
          <w:lang w:eastAsia="en-GB"/>
        </w:rPr>
        <w:t>Service Provider,</w:t>
      </w:r>
      <w:r w:rsidRPr="001F1DBC">
        <w:rPr>
          <w:rFonts w:cs="Arial"/>
          <w:color w:val="auto"/>
          <w:sz w:val="24"/>
          <w:szCs w:val="24"/>
          <w:lang w:val="en-AU"/>
        </w:rPr>
        <w:t xml:space="preserve"> must be in accordance with the insurance industry best practice, be transparent and open and clearly set out the requirements of any scheme.  All who are asked to quote for this work must have/be able to demonstrate</w:t>
      </w:r>
    </w:p>
    <w:p w:rsidR="00561A8B" w:rsidRPr="001F1DBC" w:rsidRDefault="00561A8B" w:rsidP="00354D10">
      <w:pPr>
        <w:numPr>
          <w:ilvl w:val="0"/>
          <w:numId w:val="7"/>
        </w:numPr>
        <w:spacing w:before="0" w:after="0" w:line="240" w:lineRule="auto"/>
        <w:jc w:val="both"/>
        <w:rPr>
          <w:rFonts w:cs="Arial"/>
          <w:color w:val="auto"/>
          <w:sz w:val="24"/>
          <w:szCs w:val="24"/>
          <w:lang w:val="en-AU"/>
        </w:rPr>
      </w:pPr>
      <w:r w:rsidRPr="001F1DBC">
        <w:rPr>
          <w:rFonts w:cs="Arial"/>
          <w:color w:val="auto"/>
          <w:sz w:val="24"/>
          <w:szCs w:val="24"/>
          <w:lang w:val="en-AU"/>
        </w:rPr>
        <w:t>proven track record in providing such schemes</w:t>
      </w:r>
    </w:p>
    <w:p w:rsidR="00561A8B" w:rsidRPr="001F1DBC" w:rsidRDefault="00561A8B" w:rsidP="00354D10">
      <w:pPr>
        <w:numPr>
          <w:ilvl w:val="0"/>
          <w:numId w:val="7"/>
        </w:numPr>
        <w:spacing w:before="0" w:after="0" w:line="240" w:lineRule="auto"/>
        <w:jc w:val="both"/>
        <w:rPr>
          <w:rFonts w:cs="Arial"/>
          <w:color w:val="auto"/>
          <w:sz w:val="24"/>
          <w:szCs w:val="24"/>
          <w:lang w:val="en-AU"/>
        </w:rPr>
      </w:pPr>
      <w:r w:rsidRPr="001F1DBC">
        <w:rPr>
          <w:rFonts w:cs="Arial"/>
          <w:color w:val="auto"/>
          <w:sz w:val="24"/>
          <w:szCs w:val="24"/>
          <w:lang w:val="en-AU"/>
        </w:rPr>
        <w:t>specialist knowledge and a period of time in the tenants contents scheme market</w:t>
      </w:r>
    </w:p>
    <w:p w:rsidR="00561A8B" w:rsidRPr="001F1DBC" w:rsidRDefault="00561A8B" w:rsidP="00354D10">
      <w:pPr>
        <w:numPr>
          <w:ilvl w:val="0"/>
          <w:numId w:val="7"/>
        </w:numPr>
        <w:spacing w:before="0" w:after="0" w:line="240" w:lineRule="auto"/>
        <w:jc w:val="both"/>
        <w:rPr>
          <w:rFonts w:cs="Arial"/>
          <w:color w:val="auto"/>
          <w:sz w:val="24"/>
          <w:szCs w:val="24"/>
          <w:lang w:val="en-AU"/>
        </w:rPr>
      </w:pPr>
      <w:r w:rsidRPr="001F1DBC">
        <w:rPr>
          <w:rFonts w:cs="Arial"/>
          <w:color w:val="auto"/>
          <w:sz w:val="24"/>
          <w:szCs w:val="24"/>
          <w:lang w:val="en-AU"/>
        </w:rPr>
        <w:t>long term commitments to such schemes</w:t>
      </w:r>
    </w:p>
    <w:p w:rsidR="00561A8B" w:rsidRPr="001F1DBC" w:rsidRDefault="00561A8B" w:rsidP="00354D10">
      <w:pPr>
        <w:numPr>
          <w:ilvl w:val="0"/>
          <w:numId w:val="7"/>
        </w:numPr>
        <w:spacing w:before="0" w:after="0" w:line="240" w:lineRule="auto"/>
        <w:jc w:val="both"/>
        <w:rPr>
          <w:rFonts w:cs="Arial"/>
          <w:color w:val="auto"/>
          <w:sz w:val="24"/>
          <w:szCs w:val="24"/>
          <w:lang w:val="en-AU"/>
        </w:rPr>
      </w:pPr>
      <w:r w:rsidRPr="001F1DBC">
        <w:rPr>
          <w:rFonts w:cs="Arial"/>
          <w:color w:val="auto"/>
          <w:sz w:val="24"/>
          <w:szCs w:val="24"/>
          <w:lang w:val="en-AU"/>
        </w:rPr>
        <w:t>properly licensed and regulated by the relevant authorities</w:t>
      </w:r>
    </w:p>
    <w:p w:rsidR="00561A8B" w:rsidRPr="001F1DBC" w:rsidRDefault="00561A8B" w:rsidP="00354D10">
      <w:pPr>
        <w:numPr>
          <w:ilvl w:val="0"/>
          <w:numId w:val="7"/>
        </w:numPr>
        <w:spacing w:before="0" w:after="0" w:line="240" w:lineRule="auto"/>
        <w:jc w:val="both"/>
        <w:rPr>
          <w:rFonts w:cs="Arial"/>
          <w:color w:val="auto"/>
          <w:sz w:val="24"/>
          <w:szCs w:val="24"/>
          <w:lang w:val="en-AU"/>
        </w:rPr>
      </w:pPr>
      <w:r w:rsidRPr="001F1DBC">
        <w:rPr>
          <w:rFonts w:cs="Arial"/>
          <w:color w:val="auto"/>
          <w:sz w:val="24"/>
          <w:szCs w:val="24"/>
          <w:lang w:val="en-AU"/>
        </w:rPr>
        <w:t>properly audited by recognised auditors</w:t>
      </w:r>
    </w:p>
    <w:p w:rsidR="00561A8B" w:rsidRPr="001F1DBC" w:rsidRDefault="00561A8B" w:rsidP="00354D10">
      <w:pPr>
        <w:numPr>
          <w:ilvl w:val="0"/>
          <w:numId w:val="7"/>
        </w:numPr>
        <w:spacing w:before="0" w:after="0" w:line="240" w:lineRule="auto"/>
        <w:jc w:val="both"/>
        <w:rPr>
          <w:rFonts w:cs="Arial"/>
          <w:color w:val="auto"/>
          <w:sz w:val="24"/>
          <w:szCs w:val="24"/>
          <w:lang w:val="en-AU"/>
        </w:rPr>
      </w:pPr>
      <w:r w:rsidRPr="001F1DBC">
        <w:rPr>
          <w:rFonts w:cs="Arial"/>
          <w:color w:val="auto"/>
          <w:sz w:val="24"/>
          <w:szCs w:val="24"/>
          <w:lang w:val="en-AU"/>
        </w:rPr>
        <w:t>general underwriting policy</w:t>
      </w:r>
    </w:p>
    <w:p w:rsidR="00561A8B" w:rsidRPr="001F1DBC" w:rsidRDefault="00561A8B" w:rsidP="00354D10">
      <w:pPr>
        <w:spacing w:before="0" w:after="0" w:line="240" w:lineRule="auto"/>
        <w:jc w:val="both"/>
        <w:rPr>
          <w:rFonts w:cs="Arial"/>
          <w:color w:val="auto"/>
          <w:sz w:val="24"/>
          <w:szCs w:val="24"/>
          <w:lang w:val="en-AU"/>
        </w:rPr>
      </w:pPr>
    </w:p>
    <w:p w:rsidR="00561A8B" w:rsidRPr="001F1DBC" w:rsidRDefault="00561A8B" w:rsidP="00354D10">
      <w:pPr>
        <w:spacing w:before="0" w:after="0" w:line="240" w:lineRule="auto"/>
        <w:jc w:val="both"/>
        <w:rPr>
          <w:rFonts w:cs="Arial"/>
          <w:color w:val="auto"/>
          <w:sz w:val="24"/>
          <w:szCs w:val="24"/>
          <w:lang w:val="en-AU"/>
        </w:rPr>
      </w:pPr>
      <w:r w:rsidRPr="001F1DBC">
        <w:rPr>
          <w:rFonts w:cs="Arial"/>
          <w:color w:val="auto"/>
          <w:sz w:val="24"/>
          <w:szCs w:val="24"/>
          <w:lang w:val="en-AU"/>
        </w:rPr>
        <w:t xml:space="preserve">After the award of the contract for the scheme, the </w:t>
      </w:r>
      <w:r w:rsidR="004E2BC1" w:rsidRPr="001F1DBC">
        <w:rPr>
          <w:rFonts w:cs="Arial"/>
          <w:color w:val="auto"/>
          <w:sz w:val="24"/>
          <w:szCs w:val="24"/>
          <w:lang w:eastAsia="en-GB"/>
        </w:rPr>
        <w:t xml:space="preserve">Service Provider </w:t>
      </w:r>
      <w:r w:rsidR="004E2BC1" w:rsidRPr="001F1DBC">
        <w:rPr>
          <w:rFonts w:cs="Arial"/>
          <w:color w:val="auto"/>
          <w:sz w:val="24"/>
          <w:szCs w:val="24"/>
          <w:lang w:val="en-AU"/>
        </w:rPr>
        <w:t>will</w:t>
      </w:r>
      <w:r w:rsidRPr="001F1DBC">
        <w:rPr>
          <w:rFonts w:cs="Arial"/>
          <w:color w:val="auto"/>
          <w:sz w:val="24"/>
          <w:szCs w:val="24"/>
          <w:lang w:val="en-AU"/>
        </w:rPr>
        <w:t xml:space="preserve"> </w:t>
      </w:r>
    </w:p>
    <w:p w:rsidR="00561A8B" w:rsidRPr="001F1DBC" w:rsidRDefault="00561A8B" w:rsidP="00354D10">
      <w:pPr>
        <w:numPr>
          <w:ilvl w:val="0"/>
          <w:numId w:val="6"/>
        </w:numPr>
        <w:spacing w:before="0" w:after="0" w:line="240" w:lineRule="auto"/>
        <w:jc w:val="both"/>
        <w:rPr>
          <w:rFonts w:cs="Arial"/>
          <w:color w:val="auto"/>
          <w:sz w:val="24"/>
          <w:szCs w:val="24"/>
          <w:lang w:val="en-AU"/>
        </w:rPr>
      </w:pPr>
      <w:r w:rsidRPr="001F1DBC">
        <w:rPr>
          <w:rFonts w:cs="Arial"/>
          <w:color w:val="auto"/>
          <w:sz w:val="24"/>
          <w:szCs w:val="24"/>
          <w:lang w:val="en-AU"/>
        </w:rPr>
        <w:t>monitor the performance of the insurer, loss adjuster making sure that they adhere to the service standards agreed</w:t>
      </w:r>
    </w:p>
    <w:p w:rsidR="00561A8B" w:rsidRPr="001F1DBC" w:rsidRDefault="00561A8B" w:rsidP="00354D10">
      <w:pPr>
        <w:numPr>
          <w:ilvl w:val="0"/>
          <w:numId w:val="6"/>
        </w:numPr>
        <w:spacing w:before="0" w:after="0" w:line="240" w:lineRule="auto"/>
        <w:jc w:val="both"/>
        <w:rPr>
          <w:rFonts w:cs="Arial"/>
          <w:color w:val="auto"/>
          <w:sz w:val="24"/>
          <w:szCs w:val="24"/>
          <w:lang w:val="en-AU"/>
        </w:rPr>
      </w:pPr>
      <w:r w:rsidRPr="001F1DBC">
        <w:rPr>
          <w:rFonts w:cs="Arial"/>
          <w:color w:val="auto"/>
          <w:sz w:val="24"/>
          <w:szCs w:val="24"/>
          <w:lang w:val="en-AU"/>
        </w:rPr>
        <w:t>produce and analyse m</w:t>
      </w:r>
      <w:r w:rsidR="006550E8" w:rsidRPr="001F1DBC">
        <w:rPr>
          <w:rFonts w:cs="Arial"/>
          <w:color w:val="auto"/>
          <w:sz w:val="24"/>
          <w:szCs w:val="24"/>
          <w:lang w:val="en-AU"/>
        </w:rPr>
        <w:t>anagement information (bi annual</w:t>
      </w:r>
      <w:r w:rsidRPr="001F1DBC">
        <w:rPr>
          <w:rFonts w:cs="Arial"/>
          <w:color w:val="auto"/>
          <w:sz w:val="24"/>
          <w:szCs w:val="24"/>
          <w:lang w:val="en-AU"/>
        </w:rPr>
        <w:t>) to include</w:t>
      </w:r>
    </w:p>
    <w:p w:rsidR="00561A8B" w:rsidRPr="001F1DBC" w:rsidRDefault="00561A8B" w:rsidP="00354D10">
      <w:pPr>
        <w:numPr>
          <w:ilvl w:val="1"/>
          <w:numId w:val="6"/>
        </w:numPr>
        <w:spacing w:before="0" w:after="0" w:line="240" w:lineRule="auto"/>
        <w:jc w:val="both"/>
        <w:rPr>
          <w:rFonts w:cs="Arial"/>
          <w:color w:val="auto"/>
          <w:sz w:val="24"/>
          <w:szCs w:val="24"/>
          <w:lang w:val="en-AU"/>
        </w:rPr>
      </w:pPr>
      <w:r w:rsidRPr="001F1DBC">
        <w:rPr>
          <w:rFonts w:cs="Arial"/>
          <w:color w:val="auto"/>
          <w:sz w:val="24"/>
          <w:szCs w:val="24"/>
          <w:lang w:val="en-AU"/>
        </w:rPr>
        <w:t>premiums received</w:t>
      </w:r>
    </w:p>
    <w:p w:rsidR="00561A8B" w:rsidRPr="001F1DBC" w:rsidRDefault="00561A8B" w:rsidP="00354D10">
      <w:pPr>
        <w:numPr>
          <w:ilvl w:val="1"/>
          <w:numId w:val="6"/>
        </w:numPr>
        <w:spacing w:before="0" w:after="0" w:line="240" w:lineRule="auto"/>
        <w:jc w:val="both"/>
        <w:rPr>
          <w:rFonts w:cs="Arial"/>
          <w:color w:val="auto"/>
          <w:sz w:val="24"/>
          <w:szCs w:val="24"/>
          <w:lang w:val="en-AU"/>
        </w:rPr>
      </w:pPr>
      <w:r w:rsidRPr="001F1DBC">
        <w:rPr>
          <w:rFonts w:cs="Arial"/>
          <w:color w:val="auto"/>
          <w:sz w:val="24"/>
          <w:szCs w:val="24"/>
          <w:lang w:val="en-AU"/>
        </w:rPr>
        <w:t>tenants participation</w:t>
      </w:r>
    </w:p>
    <w:p w:rsidR="00561A8B" w:rsidRPr="001F1DBC" w:rsidRDefault="00561A8B" w:rsidP="00354D10">
      <w:pPr>
        <w:numPr>
          <w:ilvl w:val="1"/>
          <w:numId w:val="6"/>
        </w:numPr>
        <w:spacing w:before="0" w:after="0" w:line="240" w:lineRule="auto"/>
        <w:jc w:val="both"/>
        <w:rPr>
          <w:rFonts w:cs="Arial"/>
          <w:color w:val="auto"/>
          <w:sz w:val="24"/>
          <w:szCs w:val="24"/>
          <w:lang w:val="en-AU"/>
        </w:rPr>
      </w:pPr>
      <w:r w:rsidRPr="001F1DBC">
        <w:rPr>
          <w:rFonts w:cs="Arial"/>
          <w:color w:val="auto"/>
          <w:sz w:val="24"/>
          <w:szCs w:val="24"/>
          <w:lang w:val="en-AU"/>
        </w:rPr>
        <w:t>number and type of claim received/settled/outstanding</w:t>
      </w:r>
    </w:p>
    <w:p w:rsidR="00561A8B" w:rsidRPr="001F1DBC" w:rsidRDefault="00561A8B" w:rsidP="00354D10">
      <w:pPr>
        <w:numPr>
          <w:ilvl w:val="1"/>
          <w:numId w:val="6"/>
        </w:numPr>
        <w:spacing w:before="0" w:after="0" w:line="240" w:lineRule="auto"/>
        <w:jc w:val="both"/>
        <w:rPr>
          <w:rFonts w:cs="Arial"/>
          <w:color w:val="auto"/>
          <w:sz w:val="24"/>
          <w:szCs w:val="24"/>
          <w:lang w:val="en-AU"/>
        </w:rPr>
      </w:pPr>
      <w:r w:rsidRPr="001F1DBC">
        <w:rPr>
          <w:rFonts w:cs="Arial"/>
          <w:color w:val="auto"/>
          <w:sz w:val="24"/>
          <w:szCs w:val="24"/>
          <w:lang w:val="en-AU"/>
        </w:rPr>
        <w:t>claims breakdown by type of loss</w:t>
      </w:r>
    </w:p>
    <w:p w:rsidR="00561A8B" w:rsidRPr="001F1DBC" w:rsidRDefault="00561A8B" w:rsidP="00354D10">
      <w:pPr>
        <w:numPr>
          <w:ilvl w:val="1"/>
          <w:numId w:val="6"/>
        </w:numPr>
        <w:spacing w:before="0" w:after="0" w:line="240" w:lineRule="auto"/>
        <w:jc w:val="both"/>
        <w:rPr>
          <w:rFonts w:cs="Arial"/>
          <w:color w:val="auto"/>
          <w:sz w:val="24"/>
          <w:szCs w:val="24"/>
          <w:lang w:val="en-AU"/>
        </w:rPr>
      </w:pPr>
      <w:r w:rsidRPr="001F1DBC">
        <w:rPr>
          <w:rFonts w:cs="Arial"/>
          <w:color w:val="auto"/>
          <w:sz w:val="24"/>
          <w:szCs w:val="24"/>
          <w:lang w:val="en-AU"/>
        </w:rPr>
        <w:t>monitoring of claims settlement timescales</w:t>
      </w:r>
    </w:p>
    <w:p w:rsidR="00561A8B" w:rsidRPr="001F1DBC" w:rsidRDefault="00561A8B" w:rsidP="00354D10">
      <w:pPr>
        <w:numPr>
          <w:ilvl w:val="1"/>
          <w:numId w:val="6"/>
        </w:numPr>
        <w:spacing w:before="0" w:after="0" w:line="240" w:lineRule="auto"/>
        <w:jc w:val="both"/>
        <w:rPr>
          <w:rFonts w:cs="Arial"/>
          <w:color w:val="auto"/>
          <w:sz w:val="24"/>
          <w:szCs w:val="24"/>
          <w:lang w:val="en-AU"/>
        </w:rPr>
      </w:pPr>
      <w:r w:rsidRPr="001F1DBC">
        <w:rPr>
          <w:rFonts w:cs="Arial"/>
          <w:color w:val="auto"/>
          <w:sz w:val="24"/>
          <w:szCs w:val="24"/>
          <w:lang w:val="en-AU"/>
        </w:rPr>
        <w:t>marketing analysis</w:t>
      </w:r>
    </w:p>
    <w:p w:rsidR="00561A8B" w:rsidRPr="001F1DBC" w:rsidRDefault="00561A8B" w:rsidP="00354D10">
      <w:pPr>
        <w:numPr>
          <w:ilvl w:val="1"/>
          <w:numId w:val="6"/>
        </w:numPr>
        <w:spacing w:before="0" w:after="0" w:line="240" w:lineRule="auto"/>
        <w:jc w:val="both"/>
        <w:rPr>
          <w:rFonts w:cs="Arial"/>
          <w:color w:val="auto"/>
          <w:sz w:val="24"/>
          <w:szCs w:val="24"/>
          <w:lang w:val="en-AU"/>
        </w:rPr>
      </w:pPr>
      <w:r w:rsidRPr="001F1DBC">
        <w:rPr>
          <w:rFonts w:cs="Arial"/>
          <w:color w:val="auto"/>
          <w:sz w:val="24"/>
          <w:szCs w:val="24"/>
          <w:lang w:val="en-AU"/>
        </w:rPr>
        <w:t>performance reports</w:t>
      </w:r>
    </w:p>
    <w:p w:rsidR="00561A8B" w:rsidRPr="001F1DBC" w:rsidRDefault="00561A8B" w:rsidP="00354D10">
      <w:pPr>
        <w:numPr>
          <w:ilvl w:val="1"/>
          <w:numId w:val="6"/>
        </w:numPr>
        <w:spacing w:before="0" w:after="0" w:line="240" w:lineRule="auto"/>
        <w:jc w:val="both"/>
        <w:rPr>
          <w:rFonts w:cs="Arial"/>
          <w:color w:val="auto"/>
          <w:sz w:val="24"/>
          <w:szCs w:val="24"/>
          <w:lang w:val="en-AU"/>
        </w:rPr>
      </w:pPr>
      <w:r w:rsidRPr="001F1DBC">
        <w:rPr>
          <w:rFonts w:cs="Arial"/>
          <w:color w:val="auto"/>
          <w:sz w:val="24"/>
          <w:szCs w:val="24"/>
          <w:lang w:val="en-AU"/>
        </w:rPr>
        <w:t>Loss ratios</w:t>
      </w:r>
    </w:p>
    <w:p w:rsidR="00561A8B" w:rsidRPr="001F1DBC" w:rsidRDefault="00561A8B" w:rsidP="00354D10">
      <w:pPr>
        <w:numPr>
          <w:ilvl w:val="0"/>
          <w:numId w:val="6"/>
        </w:numPr>
        <w:spacing w:before="0" w:after="0" w:line="240" w:lineRule="auto"/>
        <w:jc w:val="both"/>
        <w:rPr>
          <w:rFonts w:cs="Arial"/>
          <w:color w:val="auto"/>
          <w:sz w:val="24"/>
          <w:szCs w:val="24"/>
          <w:lang w:val="en-AU"/>
        </w:rPr>
      </w:pPr>
      <w:r w:rsidRPr="001F1DBC">
        <w:rPr>
          <w:rFonts w:cs="Arial"/>
          <w:color w:val="auto"/>
          <w:sz w:val="24"/>
          <w:szCs w:val="24"/>
          <w:lang w:val="en-AU"/>
        </w:rPr>
        <w:t>act on behalf of the council and/or its tenants as mediator in cases where there may be a dispute to ensure an equitable settlement</w:t>
      </w:r>
    </w:p>
    <w:p w:rsidR="00561A8B" w:rsidRPr="001F1DBC" w:rsidRDefault="00561A8B" w:rsidP="00354D10">
      <w:pPr>
        <w:numPr>
          <w:ilvl w:val="0"/>
          <w:numId w:val="6"/>
        </w:numPr>
        <w:spacing w:before="0" w:after="0" w:line="240" w:lineRule="auto"/>
        <w:jc w:val="both"/>
        <w:rPr>
          <w:rFonts w:cs="Arial"/>
          <w:color w:val="auto"/>
          <w:sz w:val="24"/>
          <w:szCs w:val="24"/>
          <w:lang w:val="en-AU"/>
        </w:rPr>
      </w:pPr>
      <w:r w:rsidRPr="001F1DBC">
        <w:rPr>
          <w:rFonts w:cs="Arial"/>
          <w:color w:val="auto"/>
          <w:sz w:val="24"/>
          <w:szCs w:val="24"/>
          <w:lang w:val="en-AU"/>
        </w:rPr>
        <w:t>ensure all complaints are handled as per the FCA regulations</w:t>
      </w:r>
    </w:p>
    <w:p w:rsidR="008B4F73" w:rsidRPr="001F1DBC" w:rsidRDefault="008B4F73" w:rsidP="00354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cs="Arial"/>
          <w:snapToGrid w:val="0"/>
          <w:color w:val="auto"/>
          <w:sz w:val="24"/>
          <w:szCs w:val="24"/>
        </w:rPr>
      </w:pPr>
    </w:p>
    <w:p w:rsidR="00553EB8" w:rsidRPr="001F1DBC" w:rsidRDefault="00A5134B" w:rsidP="00354D10">
      <w:pPr>
        <w:autoSpaceDE w:val="0"/>
        <w:autoSpaceDN w:val="0"/>
        <w:adjustRightInd w:val="0"/>
        <w:spacing w:after="0" w:line="240" w:lineRule="auto"/>
        <w:rPr>
          <w:rFonts w:cs="Arial"/>
          <w:bCs/>
          <w:sz w:val="24"/>
          <w:szCs w:val="24"/>
        </w:rPr>
      </w:pPr>
      <w:r w:rsidRPr="001F1DBC">
        <w:rPr>
          <w:rFonts w:cs="Arial"/>
          <w:bCs/>
          <w:sz w:val="24"/>
          <w:szCs w:val="24"/>
        </w:rPr>
        <w:t>Please find detailed below the current breakdown:</w:t>
      </w:r>
    </w:p>
    <w:p w:rsidR="00975D5A" w:rsidRPr="001F1DBC" w:rsidRDefault="00975D5A" w:rsidP="00354D10">
      <w:pPr>
        <w:autoSpaceDE w:val="0"/>
        <w:autoSpaceDN w:val="0"/>
        <w:adjustRightInd w:val="0"/>
        <w:spacing w:after="0" w:line="240" w:lineRule="auto"/>
        <w:rPr>
          <w:rFonts w:cs="Arial"/>
          <w:bCs/>
          <w:sz w:val="24"/>
          <w:szCs w:val="24"/>
        </w:rPr>
      </w:pPr>
    </w:p>
    <w:tbl>
      <w:tblPr>
        <w:tblStyle w:val="TableGrid"/>
        <w:tblW w:w="0" w:type="auto"/>
        <w:tblLook w:val="04A0" w:firstRow="1" w:lastRow="0" w:firstColumn="1" w:lastColumn="0" w:noHBand="0" w:noVBand="1"/>
      </w:tblPr>
      <w:tblGrid>
        <w:gridCol w:w="3080"/>
        <w:gridCol w:w="3081"/>
        <w:gridCol w:w="3081"/>
      </w:tblGrid>
      <w:tr w:rsidR="003E68E2" w:rsidTr="00B62693">
        <w:trPr>
          <w:trHeight w:val="1408"/>
        </w:trPr>
        <w:tc>
          <w:tcPr>
            <w:tcW w:w="3080" w:type="dxa"/>
            <w:shd w:val="clear" w:color="auto" w:fill="002060"/>
          </w:tcPr>
          <w:p w:rsidR="003E68E2" w:rsidRPr="00B62693" w:rsidRDefault="003E68E2" w:rsidP="009F3D57">
            <w:pPr>
              <w:pStyle w:val="Heading5"/>
              <w:outlineLvl w:val="4"/>
              <w:rPr>
                <w:color w:val="FFFFFF" w:themeColor="background1"/>
                <w:sz w:val="24"/>
                <w:szCs w:val="24"/>
              </w:rPr>
            </w:pPr>
          </w:p>
          <w:p w:rsidR="003E68E2" w:rsidRPr="00B62693" w:rsidRDefault="003E68E2" w:rsidP="009F3D57">
            <w:pPr>
              <w:spacing w:line="240" w:lineRule="auto"/>
              <w:rPr>
                <w:rFonts w:cs="Arial"/>
                <w:b/>
                <w:color w:val="FFFFFF" w:themeColor="background1"/>
                <w:sz w:val="24"/>
                <w:szCs w:val="24"/>
              </w:rPr>
            </w:pPr>
            <w:r w:rsidRPr="00B62693">
              <w:rPr>
                <w:rFonts w:cs="Arial"/>
                <w:b/>
                <w:color w:val="FFFFFF" w:themeColor="background1"/>
                <w:sz w:val="24"/>
                <w:szCs w:val="24"/>
              </w:rPr>
              <w:t>Sum Insured</w:t>
            </w:r>
          </w:p>
          <w:p w:rsidR="003E68E2" w:rsidRPr="00B62693" w:rsidRDefault="003E68E2" w:rsidP="009F3D57">
            <w:pPr>
              <w:spacing w:line="240" w:lineRule="auto"/>
              <w:rPr>
                <w:rFonts w:cs="Arial"/>
                <w:color w:val="FFFFFF" w:themeColor="background1"/>
                <w:sz w:val="24"/>
                <w:szCs w:val="24"/>
              </w:rPr>
            </w:pPr>
          </w:p>
        </w:tc>
        <w:tc>
          <w:tcPr>
            <w:tcW w:w="3081" w:type="dxa"/>
            <w:shd w:val="clear" w:color="auto" w:fill="002060"/>
          </w:tcPr>
          <w:p w:rsidR="003E68E2" w:rsidRPr="00B62693" w:rsidRDefault="003E68E2" w:rsidP="003E68E2">
            <w:pPr>
              <w:pStyle w:val="Heading5"/>
              <w:jc w:val="center"/>
              <w:outlineLvl w:val="4"/>
              <w:rPr>
                <w:color w:val="FFFFFF" w:themeColor="background1"/>
                <w:sz w:val="24"/>
                <w:szCs w:val="24"/>
              </w:rPr>
            </w:pPr>
            <w:r w:rsidRPr="00B62693">
              <w:rPr>
                <w:color w:val="FFFFFF" w:themeColor="background1"/>
                <w:sz w:val="24"/>
                <w:szCs w:val="24"/>
              </w:rPr>
              <w:t>Insurance Cover</w:t>
            </w:r>
          </w:p>
          <w:p w:rsidR="003E68E2" w:rsidRPr="00B62693" w:rsidRDefault="003E68E2" w:rsidP="003E68E2">
            <w:pPr>
              <w:pStyle w:val="Heading5"/>
              <w:jc w:val="center"/>
              <w:outlineLvl w:val="4"/>
              <w:rPr>
                <w:color w:val="FFFFFF" w:themeColor="background1"/>
                <w:sz w:val="24"/>
                <w:szCs w:val="24"/>
              </w:rPr>
            </w:pPr>
          </w:p>
          <w:p w:rsidR="003E68E2" w:rsidRPr="00B62693" w:rsidRDefault="003E68E2" w:rsidP="003E68E2">
            <w:pPr>
              <w:pStyle w:val="Heading5"/>
              <w:jc w:val="center"/>
              <w:outlineLvl w:val="4"/>
              <w:rPr>
                <w:color w:val="FFFFFF" w:themeColor="background1"/>
                <w:sz w:val="24"/>
                <w:szCs w:val="24"/>
              </w:rPr>
            </w:pPr>
            <w:r w:rsidRPr="00B62693">
              <w:rPr>
                <w:color w:val="FFFFFF" w:themeColor="background1"/>
                <w:sz w:val="24"/>
                <w:szCs w:val="24"/>
              </w:rPr>
              <w:t>Number of Tenants with Standard Customer Breakdown</w:t>
            </w:r>
          </w:p>
          <w:p w:rsidR="003E68E2" w:rsidRPr="00B62693" w:rsidRDefault="003E68E2" w:rsidP="009F3D57">
            <w:pPr>
              <w:pStyle w:val="Heading5"/>
              <w:outlineLvl w:val="4"/>
              <w:rPr>
                <w:color w:val="FFFFFF" w:themeColor="background1"/>
                <w:sz w:val="24"/>
                <w:szCs w:val="24"/>
              </w:rPr>
            </w:pPr>
          </w:p>
        </w:tc>
        <w:tc>
          <w:tcPr>
            <w:tcW w:w="3081" w:type="dxa"/>
            <w:shd w:val="clear" w:color="auto" w:fill="002060"/>
          </w:tcPr>
          <w:p w:rsidR="003E68E2" w:rsidRPr="00B62693" w:rsidRDefault="003E68E2" w:rsidP="00D27AAA">
            <w:pPr>
              <w:spacing w:line="240" w:lineRule="auto"/>
              <w:jc w:val="center"/>
              <w:rPr>
                <w:rFonts w:cs="Arial"/>
                <w:b/>
                <w:bCs/>
                <w:color w:val="FFFFFF" w:themeColor="background1"/>
                <w:sz w:val="24"/>
                <w:szCs w:val="24"/>
              </w:rPr>
            </w:pPr>
            <w:r w:rsidRPr="00B62693">
              <w:rPr>
                <w:rFonts w:cs="Arial"/>
                <w:b/>
                <w:bCs/>
                <w:color w:val="FFFFFF" w:themeColor="background1"/>
                <w:sz w:val="24"/>
                <w:szCs w:val="24"/>
              </w:rPr>
              <w:t>Insurance Cover</w:t>
            </w:r>
          </w:p>
          <w:p w:rsidR="003E68E2" w:rsidRPr="00B62693" w:rsidRDefault="00D27AAA" w:rsidP="00D27AAA">
            <w:pPr>
              <w:spacing w:line="240" w:lineRule="auto"/>
              <w:jc w:val="center"/>
              <w:rPr>
                <w:rFonts w:cs="Arial"/>
                <w:b/>
                <w:bCs/>
                <w:color w:val="FFFFFF" w:themeColor="background1"/>
                <w:sz w:val="24"/>
                <w:szCs w:val="24"/>
              </w:rPr>
            </w:pPr>
            <w:r w:rsidRPr="00B62693">
              <w:rPr>
                <w:rFonts w:cs="Arial"/>
                <w:b/>
                <w:bCs/>
                <w:color w:val="FFFFFF" w:themeColor="background1"/>
                <w:sz w:val="24"/>
                <w:szCs w:val="24"/>
              </w:rPr>
              <w:t xml:space="preserve">Number of Tenants with </w:t>
            </w:r>
            <w:r w:rsidR="003E68E2" w:rsidRPr="00B62693">
              <w:rPr>
                <w:rFonts w:cs="Arial"/>
                <w:b/>
                <w:bCs/>
                <w:color w:val="FFFFFF" w:themeColor="background1"/>
                <w:sz w:val="24"/>
                <w:szCs w:val="24"/>
              </w:rPr>
              <w:t>Accidental Damage Customer Breakdown</w:t>
            </w:r>
          </w:p>
          <w:p w:rsidR="003E68E2" w:rsidRPr="00B62693" w:rsidRDefault="003E68E2" w:rsidP="00D27AAA">
            <w:pPr>
              <w:spacing w:line="240" w:lineRule="auto"/>
              <w:jc w:val="center"/>
              <w:rPr>
                <w:rFonts w:cs="Arial"/>
                <w:b/>
                <w:bCs/>
                <w:color w:val="FFFFFF" w:themeColor="background1"/>
                <w:sz w:val="24"/>
                <w:szCs w:val="24"/>
              </w:rPr>
            </w:pP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£7,000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40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26</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£8,000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23</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10</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£9,000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55</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17</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£10,000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55</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42</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£11,000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6</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3</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£12,000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15</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11</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£13,000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4</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4</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lastRenderedPageBreak/>
              <w:t>£14,000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6</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4</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£15,000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20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13</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£16,000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6</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£17,000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3</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4</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£18,000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8</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2</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£19,000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£20,000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18</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11</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£21,000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3</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£22,000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£23,000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£24,000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£25,000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15</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9</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£26,000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£27,000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2</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£28,000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£29,000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£30,000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2</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£31,000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£32,000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£33,000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1</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£34,000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0</w:t>
            </w:r>
          </w:p>
        </w:tc>
      </w:tr>
      <w:tr w:rsidR="00553EB8" w:rsidRPr="00553EB8" w:rsidTr="00553EB8">
        <w:trPr>
          <w:trHeight w:val="297"/>
        </w:trPr>
        <w:tc>
          <w:tcPr>
            <w:tcW w:w="3080" w:type="dxa"/>
            <w:hideMark/>
          </w:tcPr>
          <w:p w:rsidR="00553EB8" w:rsidRPr="00553EB8" w:rsidRDefault="00553EB8" w:rsidP="00553EB8">
            <w:pPr>
              <w:spacing w:before="0" w:line="240" w:lineRule="auto"/>
              <w:jc w:val="right"/>
              <w:rPr>
                <w:rFonts w:cs="Arial"/>
                <w:sz w:val="24"/>
                <w:szCs w:val="24"/>
                <w:lang w:eastAsia="en-GB"/>
              </w:rPr>
            </w:pPr>
            <w:r w:rsidRPr="00553EB8">
              <w:rPr>
                <w:rFonts w:cs="Arial"/>
                <w:sz w:val="24"/>
                <w:szCs w:val="24"/>
                <w:lang w:eastAsia="en-GB"/>
              </w:rPr>
              <w:t>£35,000</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4</w:t>
            </w:r>
          </w:p>
        </w:tc>
        <w:tc>
          <w:tcPr>
            <w:tcW w:w="3081" w:type="dxa"/>
            <w:hideMark/>
          </w:tcPr>
          <w:p w:rsidR="00553EB8" w:rsidRPr="00553EB8" w:rsidRDefault="00553EB8" w:rsidP="00553EB8">
            <w:pPr>
              <w:spacing w:before="0" w:line="240" w:lineRule="auto"/>
              <w:jc w:val="center"/>
              <w:rPr>
                <w:rFonts w:cs="Arial"/>
                <w:sz w:val="24"/>
                <w:szCs w:val="24"/>
                <w:lang w:eastAsia="en-GB"/>
              </w:rPr>
            </w:pPr>
            <w:r w:rsidRPr="00553EB8">
              <w:rPr>
                <w:rFonts w:cs="Arial"/>
                <w:sz w:val="24"/>
                <w:szCs w:val="24"/>
                <w:lang w:eastAsia="en-GB"/>
              </w:rPr>
              <w:t>6</w:t>
            </w:r>
          </w:p>
        </w:tc>
      </w:tr>
    </w:tbl>
    <w:p w:rsidR="00354D10" w:rsidRPr="00B62693" w:rsidRDefault="00354D10" w:rsidP="00B62693">
      <w:pPr>
        <w:pStyle w:val="Heading1"/>
        <w:spacing w:line="240" w:lineRule="auto"/>
        <w:jc w:val="both"/>
        <w:rPr>
          <w:rFonts w:ascii="Arial" w:hAnsi="Arial" w:cs="Arial"/>
          <w:i/>
          <w:color w:val="000000" w:themeColor="text1"/>
          <w:sz w:val="24"/>
          <w:szCs w:val="24"/>
        </w:rPr>
      </w:pPr>
      <w:r w:rsidRPr="00354D10">
        <w:rPr>
          <w:rFonts w:ascii="Arial" w:hAnsi="Arial" w:cs="Arial"/>
          <w:color w:val="000000" w:themeColor="text1"/>
          <w:sz w:val="24"/>
          <w:szCs w:val="24"/>
        </w:rPr>
        <w:t>The Operation of the Scheme will require:</w:t>
      </w:r>
    </w:p>
    <w:p w:rsidR="00354D10" w:rsidRDefault="00354D10" w:rsidP="00354D10">
      <w:pPr>
        <w:spacing w:line="240" w:lineRule="auto"/>
        <w:jc w:val="both"/>
        <w:rPr>
          <w:rFonts w:cs="Arial"/>
          <w:sz w:val="24"/>
          <w:szCs w:val="24"/>
        </w:rPr>
      </w:pPr>
      <w:r>
        <w:rPr>
          <w:rFonts w:cs="Arial"/>
          <w:sz w:val="24"/>
          <w:szCs w:val="24"/>
        </w:rPr>
        <w:t>A Tenants Home</w:t>
      </w:r>
      <w:r w:rsidR="005663E1">
        <w:rPr>
          <w:rFonts w:cs="Arial"/>
          <w:sz w:val="24"/>
          <w:szCs w:val="24"/>
        </w:rPr>
        <w:t xml:space="preserve"> Contents </w:t>
      </w:r>
      <w:r>
        <w:rPr>
          <w:rFonts w:cs="Arial"/>
          <w:sz w:val="24"/>
          <w:szCs w:val="24"/>
        </w:rPr>
        <w:t xml:space="preserve">Insurance Scheme that will </w:t>
      </w:r>
    </w:p>
    <w:p w:rsidR="00354D10" w:rsidRDefault="00354D10" w:rsidP="00354D10">
      <w:pPr>
        <w:numPr>
          <w:ilvl w:val="0"/>
          <w:numId w:val="9"/>
        </w:numPr>
        <w:spacing w:before="0" w:after="0" w:line="240" w:lineRule="auto"/>
        <w:jc w:val="both"/>
        <w:rPr>
          <w:rFonts w:cs="Arial"/>
          <w:sz w:val="24"/>
          <w:szCs w:val="24"/>
        </w:rPr>
      </w:pPr>
      <w:r>
        <w:rPr>
          <w:rFonts w:cs="Arial"/>
          <w:sz w:val="24"/>
          <w:szCs w:val="24"/>
        </w:rPr>
        <w:t xml:space="preserve">be operational from </w:t>
      </w:r>
      <w:r w:rsidR="004A1894">
        <w:rPr>
          <w:rFonts w:cs="Arial"/>
          <w:sz w:val="24"/>
          <w:szCs w:val="24"/>
        </w:rPr>
        <w:t xml:space="preserve">Monday </w:t>
      </w:r>
      <w:r>
        <w:rPr>
          <w:rFonts w:cs="Arial"/>
          <w:sz w:val="24"/>
          <w:szCs w:val="24"/>
        </w:rPr>
        <w:t>2nd April 2018 with sufficient time for documents to be sent to tenants, namely</w:t>
      </w:r>
      <w:r w:rsidR="004A1894">
        <w:rPr>
          <w:rFonts w:cs="Arial"/>
          <w:sz w:val="24"/>
          <w:szCs w:val="24"/>
        </w:rPr>
        <w:t>:-</w:t>
      </w:r>
    </w:p>
    <w:p w:rsidR="00354D10" w:rsidRDefault="00354D10" w:rsidP="00354D10">
      <w:pPr>
        <w:numPr>
          <w:ilvl w:val="1"/>
          <w:numId w:val="9"/>
        </w:numPr>
        <w:spacing w:before="0" w:after="0" w:line="240" w:lineRule="auto"/>
        <w:jc w:val="both"/>
        <w:rPr>
          <w:rFonts w:cs="Arial"/>
          <w:sz w:val="24"/>
          <w:szCs w:val="24"/>
        </w:rPr>
      </w:pPr>
      <w:r>
        <w:rPr>
          <w:rFonts w:cs="Arial"/>
          <w:sz w:val="24"/>
          <w:szCs w:val="24"/>
        </w:rPr>
        <w:t>Schedule of Insurance – to be in “plain English”</w:t>
      </w:r>
    </w:p>
    <w:p w:rsidR="00354D10" w:rsidRDefault="00354D10" w:rsidP="00354D10">
      <w:pPr>
        <w:numPr>
          <w:ilvl w:val="1"/>
          <w:numId w:val="9"/>
        </w:numPr>
        <w:spacing w:before="0" w:after="0" w:line="240" w:lineRule="auto"/>
        <w:jc w:val="both"/>
        <w:rPr>
          <w:rFonts w:cs="Arial"/>
          <w:sz w:val="24"/>
          <w:szCs w:val="24"/>
        </w:rPr>
      </w:pPr>
      <w:r>
        <w:rPr>
          <w:rFonts w:cs="Arial"/>
          <w:sz w:val="24"/>
          <w:szCs w:val="24"/>
        </w:rPr>
        <w:t>Policy literature/booklet – to be in “plain English”</w:t>
      </w:r>
    </w:p>
    <w:p w:rsidR="00354D10" w:rsidRDefault="00354D10" w:rsidP="00354D10">
      <w:pPr>
        <w:numPr>
          <w:ilvl w:val="1"/>
          <w:numId w:val="9"/>
        </w:numPr>
        <w:spacing w:before="0" w:after="0" w:line="240" w:lineRule="auto"/>
        <w:jc w:val="both"/>
        <w:rPr>
          <w:rFonts w:cs="Arial"/>
          <w:sz w:val="24"/>
          <w:szCs w:val="24"/>
        </w:rPr>
      </w:pPr>
      <w:r>
        <w:rPr>
          <w:rFonts w:cs="Arial"/>
          <w:sz w:val="24"/>
          <w:szCs w:val="24"/>
        </w:rPr>
        <w:t>Annual review notice</w:t>
      </w:r>
    </w:p>
    <w:p w:rsidR="00354D10" w:rsidRDefault="00354D10" w:rsidP="00354D10">
      <w:pPr>
        <w:numPr>
          <w:ilvl w:val="1"/>
          <w:numId w:val="9"/>
        </w:numPr>
        <w:spacing w:before="0" w:after="0" w:line="240" w:lineRule="auto"/>
        <w:jc w:val="both"/>
        <w:rPr>
          <w:rFonts w:cs="Arial"/>
          <w:sz w:val="24"/>
          <w:szCs w:val="24"/>
        </w:rPr>
      </w:pPr>
      <w:r>
        <w:rPr>
          <w:rFonts w:cs="Arial"/>
          <w:sz w:val="24"/>
          <w:szCs w:val="24"/>
        </w:rPr>
        <w:t>Endorsement showing any changes</w:t>
      </w:r>
    </w:p>
    <w:p w:rsidR="00354D10" w:rsidRDefault="00354D10" w:rsidP="00354D10">
      <w:pPr>
        <w:numPr>
          <w:ilvl w:val="0"/>
          <w:numId w:val="9"/>
        </w:numPr>
        <w:spacing w:before="0" w:after="0" w:line="240" w:lineRule="auto"/>
        <w:jc w:val="both"/>
        <w:rPr>
          <w:rFonts w:cs="Arial"/>
          <w:sz w:val="24"/>
          <w:szCs w:val="24"/>
        </w:rPr>
      </w:pPr>
      <w:r>
        <w:rPr>
          <w:rFonts w:cs="Arial"/>
          <w:sz w:val="24"/>
          <w:szCs w:val="24"/>
        </w:rPr>
        <w:t>allow for the cost of marketing the scheme (to maximise up take) to be included within any bids received – to ensure this is specific and relevant to all tenants</w:t>
      </w:r>
    </w:p>
    <w:p w:rsidR="00354D10" w:rsidRDefault="00354D10" w:rsidP="00354D10">
      <w:pPr>
        <w:numPr>
          <w:ilvl w:val="0"/>
          <w:numId w:val="9"/>
        </w:numPr>
        <w:spacing w:before="0" w:after="0" w:line="240" w:lineRule="auto"/>
        <w:jc w:val="both"/>
        <w:rPr>
          <w:rFonts w:cs="Arial"/>
          <w:sz w:val="24"/>
          <w:szCs w:val="24"/>
        </w:rPr>
      </w:pPr>
      <w:r>
        <w:rPr>
          <w:rFonts w:cs="Arial"/>
          <w:sz w:val="24"/>
          <w:szCs w:val="24"/>
        </w:rPr>
        <w:t>provide competitive premiums, comprehensive cover and generous cover limits, whilst ensuring sustainability of the scheme</w:t>
      </w:r>
    </w:p>
    <w:p w:rsidR="00354D10" w:rsidRDefault="00354D10" w:rsidP="00354D10">
      <w:pPr>
        <w:numPr>
          <w:ilvl w:val="0"/>
          <w:numId w:val="9"/>
        </w:numPr>
        <w:spacing w:before="0" w:after="0" w:line="240" w:lineRule="auto"/>
        <w:jc w:val="both"/>
        <w:rPr>
          <w:rFonts w:cs="Arial"/>
          <w:sz w:val="24"/>
          <w:szCs w:val="24"/>
        </w:rPr>
      </w:pPr>
      <w:proofErr w:type="gramStart"/>
      <w:r>
        <w:rPr>
          <w:rFonts w:cs="Arial"/>
          <w:sz w:val="24"/>
          <w:szCs w:val="24"/>
        </w:rPr>
        <w:t>provide</w:t>
      </w:r>
      <w:proofErr w:type="gramEnd"/>
      <w:r>
        <w:rPr>
          <w:rFonts w:cs="Arial"/>
          <w:sz w:val="24"/>
          <w:szCs w:val="24"/>
        </w:rPr>
        <w:t xml:space="preserve"> an income for the council that will cover the cost of administration (the council’s commission based on 20%)</w:t>
      </w:r>
    </w:p>
    <w:p w:rsidR="00354D10" w:rsidRDefault="00354D10" w:rsidP="00354D10">
      <w:pPr>
        <w:numPr>
          <w:ilvl w:val="0"/>
          <w:numId w:val="9"/>
        </w:numPr>
        <w:spacing w:before="0" w:after="0" w:line="240" w:lineRule="auto"/>
        <w:jc w:val="both"/>
        <w:rPr>
          <w:rFonts w:cs="Arial"/>
          <w:sz w:val="24"/>
          <w:szCs w:val="24"/>
        </w:rPr>
      </w:pPr>
      <w:r>
        <w:rPr>
          <w:rFonts w:cs="Arial"/>
          <w:sz w:val="24"/>
          <w:szCs w:val="24"/>
        </w:rPr>
        <w:t>be administered by the council through East Kent Housing, which includes</w:t>
      </w:r>
    </w:p>
    <w:p w:rsidR="00354D10" w:rsidRDefault="00354D10" w:rsidP="00354D10">
      <w:pPr>
        <w:numPr>
          <w:ilvl w:val="1"/>
          <w:numId w:val="9"/>
        </w:numPr>
        <w:spacing w:before="0" w:after="0" w:line="240" w:lineRule="auto"/>
        <w:jc w:val="both"/>
        <w:rPr>
          <w:rFonts w:cs="Arial"/>
          <w:sz w:val="24"/>
          <w:szCs w:val="24"/>
        </w:rPr>
      </w:pPr>
      <w:r>
        <w:rPr>
          <w:rFonts w:cs="Arial"/>
          <w:sz w:val="24"/>
          <w:szCs w:val="24"/>
        </w:rPr>
        <w:t>issuing of application forms to tenants</w:t>
      </w:r>
    </w:p>
    <w:p w:rsidR="00354D10" w:rsidRDefault="00354D10" w:rsidP="00354D10">
      <w:pPr>
        <w:numPr>
          <w:ilvl w:val="1"/>
          <w:numId w:val="9"/>
        </w:numPr>
        <w:spacing w:before="0" w:after="0" w:line="240" w:lineRule="auto"/>
        <w:jc w:val="both"/>
        <w:rPr>
          <w:rFonts w:cs="Arial"/>
          <w:sz w:val="24"/>
          <w:szCs w:val="24"/>
        </w:rPr>
      </w:pPr>
      <w:r>
        <w:rPr>
          <w:rFonts w:cs="Arial"/>
          <w:sz w:val="24"/>
          <w:szCs w:val="24"/>
        </w:rPr>
        <w:t xml:space="preserve">processing of application forms </w:t>
      </w:r>
    </w:p>
    <w:p w:rsidR="00354D10" w:rsidRDefault="00354D10" w:rsidP="00354D10">
      <w:pPr>
        <w:numPr>
          <w:ilvl w:val="1"/>
          <w:numId w:val="9"/>
        </w:numPr>
        <w:spacing w:before="0" w:after="0" w:line="240" w:lineRule="auto"/>
        <w:jc w:val="both"/>
        <w:rPr>
          <w:rFonts w:cs="Arial"/>
          <w:sz w:val="24"/>
          <w:szCs w:val="24"/>
        </w:rPr>
      </w:pPr>
      <w:r>
        <w:rPr>
          <w:rFonts w:cs="Arial"/>
          <w:sz w:val="24"/>
          <w:szCs w:val="24"/>
        </w:rPr>
        <w:t>collection of revenue from tenants (via the rent processing system) and passing this through to the broker</w:t>
      </w:r>
    </w:p>
    <w:p w:rsidR="00354D10" w:rsidRDefault="00354D10" w:rsidP="00354D10">
      <w:pPr>
        <w:numPr>
          <w:ilvl w:val="0"/>
          <w:numId w:val="10"/>
        </w:numPr>
        <w:spacing w:before="0" w:after="0" w:line="240" w:lineRule="auto"/>
        <w:jc w:val="both"/>
        <w:rPr>
          <w:rFonts w:cs="Arial"/>
          <w:sz w:val="24"/>
          <w:szCs w:val="24"/>
        </w:rPr>
      </w:pPr>
      <w:r>
        <w:rPr>
          <w:rFonts w:cs="Arial"/>
          <w:sz w:val="24"/>
          <w:szCs w:val="24"/>
        </w:rPr>
        <w:t>allow tenants to join the scheme at any point during the contract term, subject to acceptance by the insurer</w:t>
      </w:r>
    </w:p>
    <w:p w:rsidR="00354D10" w:rsidRDefault="00354D10" w:rsidP="00354D10">
      <w:pPr>
        <w:numPr>
          <w:ilvl w:val="0"/>
          <w:numId w:val="10"/>
        </w:numPr>
        <w:spacing w:before="0" w:after="0" w:line="240" w:lineRule="auto"/>
        <w:jc w:val="both"/>
        <w:rPr>
          <w:rFonts w:cs="Arial"/>
          <w:sz w:val="24"/>
          <w:szCs w:val="24"/>
        </w:rPr>
      </w:pPr>
      <w:r>
        <w:rPr>
          <w:rFonts w:cs="Arial"/>
          <w:sz w:val="24"/>
          <w:szCs w:val="24"/>
        </w:rPr>
        <w:lastRenderedPageBreak/>
        <w:t>cover the entire district of Shepway, regardless of geographical location, property type or personal circumstance</w:t>
      </w:r>
    </w:p>
    <w:p w:rsidR="00354D10" w:rsidRPr="00CB0C67" w:rsidRDefault="00354D10" w:rsidP="00354D10">
      <w:pPr>
        <w:numPr>
          <w:ilvl w:val="0"/>
          <w:numId w:val="10"/>
        </w:numPr>
        <w:spacing w:before="0" w:after="0" w:line="240" w:lineRule="auto"/>
        <w:jc w:val="both"/>
        <w:rPr>
          <w:rFonts w:cs="Arial"/>
          <w:sz w:val="24"/>
          <w:szCs w:val="24"/>
        </w:rPr>
      </w:pPr>
      <w:r>
        <w:rPr>
          <w:rFonts w:cs="Arial"/>
          <w:sz w:val="24"/>
          <w:szCs w:val="24"/>
        </w:rPr>
        <w:t>provide cover for a</w:t>
      </w:r>
      <w:r w:rsidR="005871EC">
        <w:rPr>
          <w:rFonts w:cs="Arial"/>
          <w:sz w:val="24"/>
          <w:szCs w:val="24"/>
        </w:rPr>
        <w:t>n</w:t>
      </w:r>
      <w:r>
        <w:rPr>
          <w:rFonts w:cs="Arial"/>
          <w:sz w:val="24"/>
          <w:szCs w:val="24"/>
        </w:rPr>
        <w:t xml:space="preserve"> incremental increase from </w:t>
      </w:r>
      <w:r w:rsidR="004A1894">
        <w:rPr>
          <w:rFonts w:cs="Arial"/>
          <w:sz w:val="24"/>
          <w:szCs w:val="24"/>
        </w:rPr>
        <w:t>£7,</w:t>
      </w:r>
      <w:r w:rsidRPr="00DC4C29">
        <w:rPr>
          <w:rFonts w:cs="Arial"/>
          <w:sz w:val="24"/>
          <w:szCs w:val="24"/>
        </w:rPr>
        <w:t>000</w:t>
      </w:r>
      <w:r>
        <w:rPr>
          <w:rFonts w:cs="Arial"/>
          <w:sz w:val="24"/>
          <w:szCs w:val="24"/>
        </w:rPr>
        <w:t xml:space="preserve"> to £35,000, for all tenants</w:t>
      </w:r>
    </w:p>
    <w:p w:rsidR="00354D10" w:rsidRPr="006F3969" w:rsidRDefault="00354D10" w:rsidP="00354D10">
      <w:pPr>
        <w:numPr>
          <w:ilvl w:val="0"/>
          <w:numId w:val="10"/>
        </w:numPr>
        <w:spacing w:before="0" w:after="0" w:line="240" w:lineRule="auto"/>
        <w:rPr>
          <w:rFonts w:cs="Arial"/>
          <w:sz w:val="24"/>
          <w:szCs w:val="24"/>
          <w:lang w:eastAsia="en-GB"/>
        </w:rPr>
      </w:pPr>
      <w:r w:rsidRPr="006F3969">
        <w:rPr>
          <w:rFonts w:cs="Arial"/>
          <w:sz w:val="24"/>
          <w:szCs w:val="24"/>
          <w:lang w:eastAsia="en-GB"/>
        </w:rPr>
        <w:t>Additional cover may be provided in excess of £35,000 at the discretion of the insurer.</w:t>
      </w:r>
      <w:r w:rsidRPr="006F3969">
        <w:rPr>
          <w:sz w:val="24"/>
          <w:szCs w:val="24"/>
          <w:lang w:eastAsia="en-GB"/>
        </w:rPr>
        <w:t xml:space="preserve"> </w:t>
      </w:r>
    </w:p>
    <w:p w:rsidR="00354D10" w:rsidRDefault="00354D10" w:rsidP="00354D10">
      <w:pPr>
        <w:numPr>
          <w:ilvl w:val="0"/>
          <w:numId w:val="10"/>
        </w:numPr>
        <w:spacing w:before="0" w:after="0" w:line="240" w:lineRule="auto"/>
        <w:jc w:val="both"/>
        <w:rPr>
          <w:rFonts w:cs="Arial"/>
          <w:sz w:val="24"/>
          <w:szCs w:val="24"/>
        </w:rPr>
      </w:pPr>
      <w:r w:rsidRPr="003D5FB7">
        <w:rPr>
          <w:rFonts w:cs="Arial"/>
          <w:sz w:val="24"/>
          <w:szCs w:val="24"/>
        </w:rPr>
        <w:t xml:space="preserve">Premium rates </w:t>
      </w:r>
      <w:r>
        <w:rPr>
          <w:rFonts w:cs="Arial"/>
          <w:sz w:val="24"/>
          <w:szCs w:val="24"/>
        </w:rPr>
        <w:t>q</w:t>
      </w:r>
      <w:r w:rsidRPr="003D5FB7">
        <w:rPr>
          <w:rFonts w:cs="Arial"/>
          <w:sz w:val="24"/>
          <w:szCs w:val="24"/>
        </w:rPr>
        <w:t>uoted for the following</w:t>
      </w:r>
    </w:p>
    <w:p w:rsidR="00354D10" w:rsidRPr="006F3969" w:rsidRDefault="00354D10" w:rsidP="00354D10">
      <w:pPr>
        <w:numPr>
          <w:ilvl w:val="1"/>
          <w:numId w:val="10"/>
        </w:numPr>
        <w:spacing w:before="0" w:after="0" w:line="240" w:lineRule="auto"/>
        <w:jc w:val="both"/>
        <w:rPr>
          <w:rFonts w:cs="Arial"/>
          <w:sz w:val="24"/>
          <w:szCs w:val="24"/>
          <w:lang w:eastAsia="en-GB"/>
        </w:rPr>
      </w:pPr>
      <w:r w:rsidRPr="006F3969">
        <w:rPr>
          <w:rFonts w:cs="Arial"/>
          <w:sz w:val="24"/>
          <w:szCs w:val="24"/>
          <w:lang w:eastAsia="en-GB"/>
        </w:rPr>
        <w:t xml:space="preserve">nil excess </w:t>
      </w:r>
    </w:p>
    <w:p w:rsidR="00354D10" w:rsidRPr="006F3969" w:rsidRDefault="00354D10" w:rsidP="00354D10">
      <w:pPr>
        <w:numPr>
          <w:ilvl w:val="1"/>
          <w:numId w:val="10"/>
        </w:numPr>
        <w:spacing w:before="0" w:after="0" w:line="240" w:lineRule="auto"/>
        <w:jc w:val="both"/>
        <w:rPr>
          <w:rFonts w:cs="Arial"/>
          <w:sz w:val="24"/>
          <w:szCs w:val="24"/>
          <w:lang w:eastAsia="en-GB"/>
        </w:rPr>
      </w:pPr>
      <w:r w:rsidRPr="006F3969">
        <w:rPr>
          <w:rFonts w:cs="Arial"/>
          <w:sz w:val="24"/>
          <w:szCs w:val="24"/>
          <w:lang w:eastAsia="en-GB"/>
        </w:rPr>
        <w:t xml:space="preserve">standard cover </w:t>
      </w:r>
    </w:p>
    <w:p w:rsidR="00354D10" w:rsidRPr="006F3969" w:rsidRDefault="00354D10" w:rsidP="00354D10">
      <w:pPr>
        <w:numPr>
          <w:ilvl w:val="1"/>
          <w:numId w:val="10"/>
        </w:numPr>
        <w:spacing w:before="0" w:after="0" w:line="240" w:lineRule="auto"/>
        <w:jc w:val="both"/>
        <w:rPr>
          <w:rFonts w:cs="Arial"/>
          <w:sz w:val="24"/>
          <w:szCs w:val="24"/>
          <w:lang w:eastAsia="en-GB"/>
        </w:rPr>
      </w:pPr>
      <w:r w:rsidRPr="006F3969">
        <w:rPr>
          <w:rFonts w:cs="Arial"/>
          <w:sz w:val="24"/>
          <w:szCs w:val="24"/>
          <w:lang w:eastAsia="en-GB"/>
        </w:rPr>
        <w:t>full accidental damage cover option</w:t>
      </w:r>
      <w:r w:rsidRPr="006F3969">
        <w:rPr>
          <w:sz w:val="24"/>
          <w:szCs w:val="24"/>
          <w:lang w:eastAsia="en-GB"/>
        </w:rPr>
        <w:t xml:space="preserve"> </w:t>
      </w:r>
    </w:p>
    <w:p w:rsidR="00354D10" w:rsidRPr="00B62693" w:rsidRDefault="00354D10" w:rsidP="00354D10">
      <w:pPr>
        <w:numPr>
          <w:ilvl w:val="1"/>
          <w:numId w:val="10"/>
        </w:numPr>
        <w:spacing w:before="0" w:after="0" w:line="240" w:lineRule="auto"/>
        <w:jc w:val="both"/>
        <w:rPr>
          <w:rFonts w:cs="Arial"/>
          <w:sz w:val="24"/>
          <w:szCs w:val="24"/>
          <w:lang w:eastAsia="en-GB"/>
        </w:rPr>
      </w:pPr>
      <w:r w:rsidRPr="006F3969">
        <w:rPr>
          <w:rFonts w:cs="Arial"/>
          <w:sz w:val="24"/>
          <w:szCs w:val="24"/>
          <w:lang w:eastAsia="en-GB"/>
        </w:rPr>
        <w:t>will include the insurance premium tax</w:t>
      </w:r>
    </w:p>
    <w:p w:rsidR="00354D10" w:rsidRDefault="00354D10" w:rsidP="00354D10">
      <w:pPr>
        <w:numPr>
          <w:ilvl w:val="0"/>
          <w:numId w:val="11"/>
        </w:numPr>
        <w:spacing w:before="0" w:after="0" w:line="240" w:lineRule="auto"/>
        <w:jc w:val="both"/>
        <w:rPr>
          <w:rFonts w:cs="Arial"/>
          <w:sz w:val="24"/>
          <w:szCs w:val="24"/>
          <w:lang w:eastAsia="en-GB"/>
        </w:rPr>
      </w:pPr>
      <w:r>
        <w:rPr>
          <w:rFonts w:cs="Arial"/>
          <w:sz w:val="24"/>
          <w:szCs w:val="24"/>
          <w:lang w:eastAsia="en-GB"/>
        </w:rPr>
        <w:t>Claims to be administered promptly, efficiently and if appropriate within the insurance industry service guidelines (CPR)</w:t>
      </w:r>
    </w:p>
    <w:p w:rsidR="00B62693" w:rsidRPr="00B62693" w:rsidRDefault="00B62693" w:rsidP="00B62693">
      <w:pPr>
        <w:spacing w:before="0" w:after="0" w:line="240" w:lineRule="auto"/>
        <w:ind w:left="420"/>
        <w:jc w:val="both"/>
        <w:rPr>
          <w:rFonts w:cs="Arial"/>
          <w:sz w:val="24"/>
          <w:szCs w:val="24"/>
          <w:lang w:eastAsia="en-GB"/>
        </w:rPr>
      </w:pPr>
    </w:p>
    <w:p w:rsidR="00354D10" w:rsidRPr="00F732A9" w:rsidRDefault="00354D10" w:rsidP="00354D10">
      <w:pPr>
        <w:spacing w:line="240" w:lineRule="auto"/>
        <w:jc w:val="both"/>
        <w:rPr>
          <w:rFonts w:cs="Arial"/>
          <w:sz w:val="24"/>
          <w:szCs w:val="24"/>
        </w:rPr>
      </w:pPr>
      <w:r w:rsidRPr="00F732A9">
        <w:rPr>
          <w:rFonts w:cs="Arial"/>
          <w:sz w:val="24"/>
          <w:szCs w:val="24"/>
        </w:rPr>
        <w:t xml:space="preserve">Key elements </w:t>
      </w:r>
      <w:r>
        <w:rPr>
          <w:rFonts w:cs="Arial"/>
          <w:sz w:val="24"/>
          <w:szCs w:val="24"/>
        </w:rPr>
        <w:t>of the contract will be -</w:t>
      </w:r>
    </w:p>
    <w:p w:rsidR="00354D10" w:rsidRPr="00F732A9" w:rsidRDefault="00354D10" w:rsidP="00354D10">
      <w:pPr>
        <w:numPr>
          <w:ilvl w:val="0"/>
          <w:numId w:val="8"/>
        </w:numPr>
        <w:spacing w:before="0" w:after="0" w:line="240" w:lineRule="auto"/>
        <w:jc w:val="both"/>
        <w:rPr>
          <w:rFonts w:cs="Arial"/>
          <w:sz w:val="24"/>
          <w:szCs w:val="24"/>
        </w:rPr>
      </w:pPr>
      <w:r w:rsidRPr="00F732A9">
        <w:rPr>
          <w:rFonts w:cs="Arial"/>
          <w:sz w:val="24"/>
          <w:szCs w:val="24"/>
        </w:rPr>
        <w:t>Policy cover</w:t>
      </w:r>
      <w:r w:rsidRPr="00F732A9">
        <w:rPr>
          <w:rFonts w:cs="Arial"/>
          <w:sz w:val="24"/>
          <w:szCs w:val="24"/>
        </w:rPr>
        <w:tab/>
      </w:r>
    </w:p>
    <w:p w:rsidR="00354D10" w:rsidRPr="00F732A9" w:rsidRDefault="00354D10" w:rsidP="00354D10">
      <w:pPr>
        <w:numPr>
          <w:ilvl w:val="0"/>
          <w:numId w:val="8"/>
        </w:numPr>
        <w:spacing w:before="0" w:after="0" w:line="240" w:lineRule="auto"/>
        <w:jc w:val="both"/>
        <w:rPr>
          <w:rFonts w:cs="Arial"/>
          <w:sz w:val="24"/>
          <w:szCs w:val="24"/>
        </w:rPr>
      </w:pPr>
      <w:r>
        <w:rPr>
          <w:rFonts w:cs="Arial"/>
          <w:sz w:val="24"/>
          <w:szCs w:val="24"/>
        </w:rPr>
        <w:t>S</w:t>
      </w:r>
      <w:r w:rsidRPr="00F732A9">
        <w:rPr>
          <w:rFonts w:cs="Arial"/>
          <w:sz w:val="24"/>
          <w:szCs w:val="24"/>
        </w:rPr>
        <w:t xml:space="preserve">ustainability of </w:t>
      </w:r>
      <w:r>
        <w:rPr>
          <w:rFonts w:cs="Arial"/>
          <w:sz w:val="24"/>
          <w:szCs w:val="24"/>
        </w:rPr>
        <w:t>set p</w:t>
      </w:r>
      <w:r w:rsidRPr="00F732A9">
        <w:rPr>
          <w:rFonts w:cs="Arial"/>
          <w:sz w:val="24"/>
          <w:szCs w:val="24"/>
        </w:rPr>
        <w:t>rice</w:t>
      </w:r>
      <w:r>
        <w:rPr>
          <w:rFonts w:cs="Arial"/>
          <w:sz w:val="24"/>
          <w:szCs w:val="24"/>
        </w:rPr>
        <w:t xml:space="preserve"> over a given period</w:t>
      </w:r>
      <w:r w:rsidRPr="00F732A9">
        <w:rPr>
          <w:rFonts w:cs="Arial"/>
          <w:sz w:val="24"/>
          <w:szCs w:val="24"/>
        </w:rPr>
        <w:tab/>
      </w:r>
    </w:p>
    <w:p w:rsidR="00354D10" w:rsidRPr="00F732A9" w:rsidRDefault="00354D10" w:rsidP="00354D10">
      <w:pPr>
        <w:numPr>
          <w:ilvl w:val="0"/>
          <w:numId w:val="8"/>
        </w:numPr>
        <w:spacing w:before="0" w:after="0" w:line="240" w:lineRule="auto"/>
        <w:jc w:val="both"/>
        <w:rPr>
          <w:rFonts w:cs="Arial"/>
          <w:sz w:val="24"/>
          <w:szCs w:val="24"/>
        </w:rPr>
      </w:pPr>
      <w:r w:rsidRPr="00F732A9">
        <w:rPr>
          <w:rFonts w:cs="Arial"/>
          <w:sz w:val="24"/>
          <w:szCs w:val="24"/>
        </w:rPr>
        <w:t>Claims management</w:t>
      </w:r>
      <w:r>
        <w:rPr>
          <w:rFonts w:cs="Arial"/>
          <w:sz w:val="24"/>
          <w:szCs w:val="24"/>
        </w:rPr>
        <w:t xml:space="preserve"> experience</w:t>
      </w:r>
      <w:r w:rsidRPr="00F732A9">
        <w:rPr>
          <w:rFonts w:cs="Arial"/>
          <w:sz w:val="24"/>
          <w:szCs w:val="24"/>
        </w:rPr>
        <w:tab/>
      </w:r>
    </w:p>
    <w:p w:rsidR="00354D10" w:rsidRDefault="00354D10" w:rsidP="00354D10">
      <w:pPr>
        <w:numPr>
          <w:ilvl w:val="0"/>
          <w:numId w:val="8"/>
        </w:numPr>
        <w:spacing w:before="0" w:after="0" w:line="240" w:lineRule="auto"/>
        <w:jc w:val="both"/>
        <w:rPr>
          <w:rFonts w:cs="Arial"/>
          <w:sz w:val="22"/>
          <w:szCs w:val="22"/>
        </w:rPr>
      </w:pPr>
      <w:r w:rsidRPr="001444CC">
        <w:rPr>
          <w:rFonts w:cs="Arial"/>
          <w:sz w:val="24"/>
          <w:szCs w:val="24"/>
        </w:rPr>
        <w:t>Ease of administration</w:t>
      </w:r>
    </w:p>
    <w:p w:rsidR="00354D10" w:rsidRPr="000834F2" w:rsidRDefault="00354D10" w:rsidP="00354D10">
      <w:pPr>
        <w:numPr>
          <w:ilvl w:val="0"/>
          <w:numId w:val="8"/>
        </w:numPr>
        <w:spacing w:before="0" w:after="0" w:line="240" w:lineRule="auto"/>
        <w:rPr>
          <w:rFonts w:cs="Arial"/>
          <w:sz w:val="22"/>
          <w:szCs w:val="22"/>
        </w:rPr>
      </w:pPr>
      <w:r w:rsidRPr="003D5FB7">
        <w:rPr>
          <w:rFonts w:cs="Arial"/>
          <w:sz w:val="24"/>
          <w:szCs w:val="24"/>
        </w:rPr>
        <w:t>Any other extensions of cover which demon</w:t>
      </w:r>
      <w:r w:rsidR="00B36341">
        <w:rPr>
          <w:rFonts w:cs="Arial"/>
          <w:sz w:val="24"/>
          <w:szCs w:val="24"/>
        </w:rPr>
        <w:t xml:space="preserve">strate the flexibility of the </w:t>
      </w:r>
      <w:r w:rsidRPr="003D5FB7">
        <w:rPr>
          <w:rFonts w:cs="Arial"/>
          <w:sz w:val="24"/>
          <w:szCs w:val="24"/>
        </w:rPr>
        <w:t>Insurer to give enhanced value for money to the tenant</w:t>
      </w:r>
      <w:r>
        <w:rPr>
          <w:rFonts w:cs="Arial"/>
          <w:sz w:val="24"/>
          <w:szCs w:val="24"/>
        </w:rPr>
        <w:t>.</w:t>
      </w:r>
    </w:p>
    <w:p w:rsidR="00354D10" w:rsidRDefault="00354D10" w:rsidP="008B4F73">
      <w:pPr>
        <w:spacing w:before="0" w:after="0"/>
        <w:rPr>
          <w:rFonts w:cs="Arial"/>
          <w:b/>
          <w:color w:val="auto"/>
          <w:sz w:val="24"/>
          <w:szCs w:val="24"/>
        </w:rPr>
      </w:pPr>
    </w:p>
    <w:p w:rsidR="00354D10" w:rsidRDefault="00354D10" w:rsidP="008B4F73">
      <w:pPr>
        <w:spacing w:before="0" w:after="0"/>
        <w:rPr>
          <w:rFonts w:cs="Arial"/>
          <w:b/>
          <w:color w:val="auto"/>
          <w:sz w:val="24"/>
          <w:szCs w:val="24"/>
        </w:rPr>
      </w:pPr>
    </w:p>
    <w:p w:rsidR="008B4F73" w:rsidRDefault="008B4F73" w:rsidP="008B4F73">
      <w:pPr>
        <w:spacing w:before="0" w:after="0"/>
        <w:rPr>
          <w:rFonts w:cs="Arial"/>
          <w:color w:val="auto"/>
          <w:sz w:val="24"/>
          <w:szCs w:val="24"/>
        </w:rPr>
      </w:pPr>
    </w:p>
    <w:sectPr w:rsidR="008B4F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B4" w:rsidRDefault="002161B4" w:rsidP="002D36D2">
      <w:pPr>
        <w:spacing w:before="0" w:after="0" w:line="240" w:lineRule="auto"/>
      </w:pPr>
      <w:r>
        <w:separator/>
      </w:r>
    </w:p>
  </w:endnote>
  <w:endnote w:type="continuationSeparator" w:id="0">
    <w:p w:rsidR="002161B4" w:rsidRDefault="002161B4" w:rsidP="002D36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B4" w:rsidRDefault="002161B4" w:rsidP="002D36D2">
      <w:pPr>
        <w:spacing w:before="0" w:after="0" w:line="240" w:lineRule="auto"/>
      </w:pPr>
      <w:r>
        <w:separator/>
      </w:r>
    </w:p>
  </w:footnote>
  <w:footnote w:type="continuationSeparator" w:id="0">
    <w:p w:rsidR="002161B4" w:rsidRDefault="002161B4" w:rsidP="002D36D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D72"/>
    <w:multiLevelType w:val="hybridMultilevel"/>
    <w:tmpl w:val="A56EE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C0425F"/>
    <w:multiLevelType w:val="hybridMultilevel"/>
    <w:tmpl w:val="D91C88C0"/>
    <w:lvl w:ilvl="0" w:tplc="41A266AE">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162D2"/>
    <w:multiLevelType w:val="hybridMultilevel"/>
    <w:tmpl w:val="DB945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7A4FCC"/>
    <w:multiLevelType w:val="hybridMultilevel"/>
    <w:tmpl w:val="01A6A6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FB4472"/>
    <w:multiLevelType w:val="hybridMultilevel"/>
    <w:tmpl w:val="138A05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FB4550"/>
    <w:multiLevelType w:val="hybridMultilevel"/>
    <w:tmpl w:val="A6DE0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472108"/>
    <w:multiLevelType w:val="hybridMultilevel"/>
    <w:tmpl w:val="5B0E94A0"/>
    <w:lvl w:ilvl="0" w:tplc="724AEA48">
      <w:start w:val="1"/>
      <w:numFmt w:val="decimal"/>
      <w:lvlText w:val="(%1)"/>
      <w:lvlJc w:val="left"/>
      <w:pPr>
        <w:tabs>
          <w:tab w:val="num" w:pos="2155"/>
        </w:tabs>
        <w:ind w:left="2155" w:hanging="720"/>
      </w:pPr>
      <w:rPr>
        <w:rFonts w:hint="default"/>
        <w:b w:val="0"/>
      </w:rPr>
    </w:lvl>
    <w:lvl w:ilvl="1" w:tplc="08090001">
      <w:start w:val="1"/>
      <w:numFmt w:val="bullet"/>
      <w:lvlText w:val=""/>
      <w:lvlJc w:val="left"/>
      <w:pPr>
        <w:tabs>
          <w:tab w:val="num" w:pos="2515"/>
        </w:tabs>
        <w:ind w:left="2515" w:hanging="360"/>
      </w:pPr>
      <w:rPr>
        <w:rFonts w:ascii="Symbol" w:hAnsi="Symbol" w:hint="default"/>
        <w:b w:val="0"/>
      </w:rPr>
    </w:lvl>
    <w:lvl w:ilvl="2" w:tplc="0809001B" w:tentative="1">
      <w:start w:val="1"/>
      <w:numFmt w:val="lowerRoman"/>
      <w:lvlText w:val="%3."/>
      <w:lvlJc w:val="right"/>
      <w:pPr>
        <w:tabs>
          <w:tab w:val="num" w:pos="3235"/>
        </w:tabs>
        <w:ind w:left="3235" w:hanging="180"/>
      </w:pPr>
    </w:lvl>
    <w:lvl w:ilvl="3" w:tplc="0809000F" w:tentative="1">
      <w:start w:val="1"/>
      <w:numFmt w:val="decimal"/>
      <w:lvlText w:val="%4."/>
      <w:lvlJc w:val="left"/>
      <w:pPr>
        <w:tabs>
          <w:tab w:val="num" w:pos="3955"/>
        </w:tabs>
        <w:ind w:left="3955" w:hanging="360"/>
      </w:pPr>
    </w:lvl>
    <w:lvl w:ilvl="4" w:tplc="08090019" w:tentative="1">
      <w:start w:val="1"/>
      <w:numFmt w:val="lowerLetter"/>
      <w:lvlText w:val="%5."/>
      <w:lvlJc w:val="left"/>
      <w:pPr>
        <w:tabs>
          <w:tab w:val="num" w:pos="4675"/>
        </w:tabs>
        <w:ind w:left="4675" w:hanging="360"/>
      </w:pPr>
    </w:lvl>
    <w:lvl w:ilvl="5" w:tplc="0809001B" w:tentative="1">
      <w:start w:val="1"/>
      <w:numFmt w:val="lowerRoman"/>
      <w:lvlText w:val="%6."/>
      <w:lvlJc w:val="right"/>
      <w:pPr>
        <w:tabs>
          <w:tab w:val="num" w:pos="5395"/>
        </w:tabs>
        <w:ind w:left="5395" w:hanging="180"/>
      </w:pPr>
    </w:lvl>
    <w:lvl w:ilvl="6" w:tplc="0809000F" w:tentative="1">
      <w:start w:val="1"/>
      <w:numFmt w:val="decimal"/>
      <w:lvlText w:val="%7."/>
      <w:lvlJc w:val="left"/>
      <w:pPr>
        <w:tabs>
          <w:tab w:val="num" w:pos="6115"/>
        </w:tabs>
        <w:ind w:left="6115" w:hanging="360"/>
      </w:pPr>
    </w:lvl>
    <w:lvl w:ilvl="7" w:tplc="08090019" w:tentative="1">
      <w:start w:val="1"/>
      <w:numFmt w:val="lowerLetter"/>
      <w:lvlText w:val="%8."/>
      <w:lvlJc w:val="left"/>
      <w:pPr>
        <w:tabs>
          <w:tab w:val="num" w:pos="6835"/>
        </w:tabs>
        <w:ind w:left="6835" w:hanging="360"/>
      </w:pPr>
    </w:lvl>
    <w:lvl w:ilvl="8" w:tplc="0809001B" w:tentative="1">
      <w:start w:val="1"/>
      <w:numFmt w:val="lowerRoman"/>
      <w:lvlText w:val="%9."/>
      <w:lvlJc w:val="right"/>
      <w:pPr>
        <w:tabs>
          <w:tab w:val="num" w:pos="7555"/>
        </w:tabs>
        <w:ind w:left="7555" w:hanging="180"/>
      </w:pPr>
    </w:lvl>
  </w:abstractNum>
  <w:abstractNum w:abstractNumId="7">
    <w:nsid w:val="1CDF486C"/>
    <w:multiLevelType w:val="hybridMultilevel"/>
    <w:tmpl w:val="45789F94"/>
    <w:lvl w:ilvl="0" w:tplc="41A266AE">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E67BC4"/>
    <w:multiLevelType w:val="hybridMultilevel"/>
    <w:tmpl w:val="A9EC51E2"/>
    <w:lvl w:ilvl="0" w:tplc="41A266AE">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05223C"/>
    <w:multiLevelType w:val="hybridMultilevel"/>
    <w:tmpl w:val="E6F04B0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675579E7"/>
    <w:multiLevelType w:val="hybridMultilevel"/>
    <w:tmpl w:val="AD4E149C"/>
    <w:lvl w:ilvl="0" w:tplc="3F30793E">
      <w:start w:val="1"/>
      <w:numFmt w:val="decimal"/>
      <w:lvlText w:val="(%1)"/>
      <w:lvlJc w:val="left"/>
      <w:pPr>
        <w:tabs>
          <w:tab w:val="num" w:pos="1440"/>
        </w:tabs>
        <w:ind w:left="1440" w:hanging="735"/>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11">
    <w:nsid w:val="682826C5"/>
    <w:multiLevelType w:val="hybridMultilevel"/>
    <w:tmpl w:val="1D4EB01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7C29738E"/>
    <w:multiLevelType w:val="hybridMultilevel"/>
    <w:tmpl w:val="B932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7"/>
  </w:num>
  <w:num w:numId="6">
    <w:abstractNumId w:val="9"/>
  </w:num>
  <w:num w:numId="7">
    <w:abstractNumId w:val="5"/>
  </w:num>
  <w:num w:numId="8">
    <w:abstractNumId w:val="12"/>
  </w:num>
  <w:num w:numId="9">
    <w:abstractNumId w:val="4"/>
  </w:num>
  <w:num w:numId="10">
    <w:abstractNumId w:val="3"/>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73"/>
    <w:rsid w:val="00052468"/>
    <w:rsid w:val="00060BB2"/>
    <w:rsid w:val="00093AF0"/>
    <w:rsid w:val="000E3C72"/>
    <w:rsid w:val="00125B56"/>
    <w:rsid w:val="001F1DBC"/>
    <w:rsid w:val="002161B4"/>
    <w:rsid w:val="002739F5"/>
    <w:rsid w:val="00282899"/>
    <w:rsid w:val="002A290A"/>
    <w:rsid w:val="002B03B8"/>
    <w:rsid w:val="002B35B9"/>
    <w:rsid w:val="002C18D7"/>
    <w:rsid w:val="002D36D2"/>
    <w:rsid w:val="00354D10"/>
    <w:rsid w:val="00356B58"/>
    <w:rsid w:val="0036139B"/>
    <w:rsid w:val="00362FFB"/>
    <w:rsid w:val="003E68E2"/>
    <w:rsid w:val="004404D1"/>
    <w:rsid w:val="0045619A"/>
    <w:rsid w:val="004A1894"/>
    <w:rsid w:val="004E2BC1"/>
    <w:rsid w:val="004F1982"/>
    <w:rsid w:val="00522606"/>
    <w:rsid w:val="00523149"/>
    <w:rsid w:val="0052404B"/>
    <w:rsid w:val="00553EB8"/>
    <w:rsid w:val="00561A8B"/>
    <w:rsid w:val="005663E1"/>
    <w:rsid w:val="005871EC"/>
    <w:rsid w:val="005C1703"/>
    <w:rsid w:val="00606640"/>
    <w:rsid w:val="0063060F"/>
    <w:rsid w:val="00650791"/>
    <w:rsid w:val="0065137E"/>
    <w:rsid w:val="006550E8"/>
    <w:rsid w:val="006B2025"/>
    <w:rsid w:val="006E1064"/>
    <w:rsid w:val="006E5F5C"/>
    <w:rsid w:val="006F207E"/>
    <w:rsid w:val="00813BE6"/>
    <w:rsid w:val="0084732C"/>
    <w:rsid w:val="008775F9"/>
    <w:rsid w:val="008911AF"/>
    <w:rsid w:val="008B4F73"/>
    <w:rsid w:val="00925ACD"/>
    <w:rsid w:val="00975D5A"/>
    <w:rsid w:val="009C746D"/>
    <w:rsid w:val="009D309C"/>
    <w:rsid w:val="009F3FAF"/>
    <w:rsid w:val="00A24059"/>
    <w:rsid w:val="00A45E08"/>
    <w:rsid w:val="00A5134B"/>
    <w:rsid w:val="00AD674E"/>
    <w:rsid w:val="00B36341"/>
    <w:rsid w:val="00B555B6"/>
    <w:rsid w:val="00B62693"/>
    <w:rsid w:val="00BA6F05"/>
    <w:rsid w:val="00BB27B4"/>
    <w:rsid w:val="00BE01B4"/>
    <w:rsid w:val="00C13476"/>
    <w:rsid w:val="00C32857"/>
    <w:rsid w:val="00C814E5"/>
    <w:rsid w:val="00C87F55"/>
    <w:rsid w:val="00CC3390"/>
    <w:rsid w:val="00CF5773"/>
    <w:rsid w:val="00D27AAA"/>
    <w:rsid w:val="00D67FE4"/>
    <w:rsid w:val="00DA3FD7"/>
    <w:rsid w:val="00DE12A9"/>
    <w:rsid w:val="00E86E11"/>
    <w:rsid w:val="00F44F3E"/>
    <w:rsid w:val="00F63031"/>
    <w:rsid w:val="00FB136D"/>
    <w:rsid w:val="00FE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73"/>
    <w:pPr>
      <w:spacing w:before="120" w:line="120" w:lineRule="atLeast"/>
    </w:pPr>
    <w:rPr>
      <w:rFonts w:ascii="Arial" w:eastAsia="Times New Roman" w:hAnsi="Arial" w:cs="Times New Roman"/>
      <w:color w:val="000000"/>
      <w:sz w:val="20"/>
      <w:szCs w:val="20"/>
    </w:rPr>
  </w:style>
  <w:style w:type="paragraph" w:styleId="Heading1">
    <w:name w:val="heading 1"/>
    <w:basedOn w:val="Normal"/>
    <w:next w:val="Normal"/>
    <w:link w:val="Heading1Char"/>
    <w:uiPriority w:val="9"/>
    <w:qFormat/>
    <w:rsid w:val="00354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unhideWhenUsed/>
    <w:qFormat/>
    <w:rsid w:val="00A5134B"/>
    <w:pPr>
      <w:keepNext/>
      <w:spacing w:before="0" w:after="0" w:line="240" w:lineRule="auto"/>
      <w:outlineLvl w:val="4"/>
    </w:pPr>
    <w:rPr>
      <w:rFonts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5ACD"/>
    <w:rPr>
      <w:sz w:val="16"/>
      <w:szCs w:val="16"/>
    </w:rPr>
  </w:style>
  <w:style w:type="paragraph" w:styleId="CommentText">
    <w:name w:val="annotation text"/>
    <w:basedOn w:val="Normal"/>
    <w:link w:val="CommentTextChar"/>
    <w:uiPriority w:val="99"/>
    <w:semiHidden/>
    <w:unhideWhenUsed/>
    <w:rsid w:val="00925ACD"/>
    <w:pPr>
      <w:spacing w:line="240" w:lineRule="auto"/>
    </w:pPr>
  </w:style>
  <w:style w:type="character" w:customStyle="1" w:styleId="CommentTextChar">
    <w:name w:val="Comment Text Char"/>
    <w:basedOn w:val="DefaultParagraphFont"/>
    <w:link w:val="CommentText"/>
    <w:uiPriority w:val="99"/>
    <w:semiHidden/>
    <w:rsid w:val="00925ACD"/>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25ACD"/>
    <w:rPr>
      <w:b/>
      <w:bCs/>
    </w:rPr>
  </w:style>
  <w:style w:type="character" w:customStyle="1" w:styleId="CommentSubjectChar">
    <w:name w:val="Comment Subject Char"/>
    <w:basedOn w:val="CommentTextChar"/>
    <w:link w:val="CommentSubject"/>
    <w:uiPriority w:val="99"/>
    <w:semiHidden/>
    <w:rsid w:val="00925ACD"/>
    <w:rPr>
      <w:rFonts w:ascii="Arial" w:eastAsia="Times New Roman" w:hAnsi="Arial" w:cs="Times New Roman"/>
      <w:b/>
      <w:bCs/>
      <w:color w:val="000000"/>
      <w:sz w:val="20"/>
      <w:szCs w:val="20"/>
    </w:rPr>
  </w:style>
  <w:style w:type="paragraph" w:styleId="BalloonText">
    <w:name w:val="Balloon Text"/>
    <w:basedOn w:val="Normal"/>
    <w:link w:val="BalloonTextChar"/>
    <w:uiPriority w:val="99"/>
    <w:semiHidden/>
    <w:unhideWhenUsed/>
    <w:rsid w:val="00925A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CD"/>
    <w:rPr>
      <w:rFonts w:ascii="Tahoma" w:eastAsia="Times New Roman" w:hAnsi="Tahoma" w:cs="Tahoma"/>
      <w:color w:val="000000"/>
      <w:sz w:val="16"/>
      <w:szCs w:val="16"/>
    </w:rPr>
  </w:style>
  <w:style w:type="character" w:customStyle="1" w:styleId="Heading5Char">
    <w:name w:val="Heading 5 Char"/>
    <w:basedOn w:val="DefaultParagraphFont"/>
    <w:link w:val="Heading5"/>
    <w:uiPriority w:val="9"/>
    <w:rsid w:val="00A5134B"/>
    <w:rPr>
      <w:rFonts w:ascii="Arial" w:eastAsia="Times New Roman" w:hAnsi="Arial" w:cs="Arial"/>
      <w:b/>
      <w:bCs/>
      <w:sz w:val="20"/>
      <w:szCs w:val="20"/>
    </w:rPr>
  </w:style>
  <w:style w:type="character" w:customStyle="1" w:styleId="Heading1Char">
    <w:name w:val="Heading 1 Char"/>
    <w:basedOn w:val="DefaultParagraphFont"/>
    <w:link w:val="Heading1"/>
    <w:uiPriority w:val="9"/>
    <w:rsid w:val="00354D1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D36D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D36D2"/>
    <w:rPr>
      <w:rFonts w:ascii="Arial" w:eastAsia="Times New Roman" w:hAnsi="Arial" w:cs="Times New Roman"/>
      <w:color w:val="000000"/>
      <w:sz w:val="20"/>
      <w:szCs w:val="20"/>
    </w:rPr>
  </w:style>
  <w:style w:type="paragraph" w:styleId="Footer">
    <w:name w:val="footer"/>
    <w:basedOn w:val="Normal"/>
    <w:link w:val="FooterChar"/>
    <w:uiPriority w:val="99"/>
    <w:unhideWhenUsed/>
    <w:rsid w:val="002D36D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D36D2"/>
    <w:rPr>
      <w:rFonts w:ascii="Arial" w:eastAsia="Times New Roman" w:hAnsi="Arial" w:cs="Times New Roman"/>
      <w:color w:val="000000"/>
      <w:sz w:val="20"/>
      <w:szCs w:val="20"/>
    </w:rPr>
  </w:style>
  <w:style w:type="table" w:styleId="TableGrid">
    <w:name w:val="Table Grid"/>
    <w:basedOn w:val="TableNormal"/>
    <w:uiPriority w:val="59"/>
    <w:rsid w:val="004F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73"/>
    <w:pPr>
      <w:spacing w:before="120" w:line="120" w:lineRule="atLeast"/>
    </w:pPr>
    <w:rPr>
      <w:rFonts w:ascii="Arial" w:eastAsia="Times New Roman" w:hAnsi="Arial" w:cs="Times New Roman"/>
      <w:color w:val="000000"/>
      <w:sz w:val="20"/>
      <w:szCs w:val="20"/>
    </w:rPr>
  </w:style>
  <w:style w:type="paragraph" w:styleId="Heading1">
    <w:name w:val="heading 1"/>
    <w:basedOn w:val="Normal"/>
    <w:next w:val="Normal"/>
    <w:link w:val="Heading1Char"/>
    <w:uiPriority w:val="9"/>
    <w:qFormat/>
    <w:rsid w:val="00354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unhideWhenUsed/>
    <w:qFormat/>
    <w:rsid w:val="00A5134B"/>
    <w:pPr>
      <w:keepNext/>
      <w:spacing w:before="0" w:after="0" w:line="240" w:lineRule="auto"/>
      <w:outlineLvl w:val="4"/>
    </w:pPr>
    <w:rPr>
      <w:rFonts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5ACD"/>
    <w:rPr>
      <w:sz w:val="16"/>
      <w:szCs w:val="16"/>
    </w:rPr>
  </w:style>
  <w:style w:type="paragraph" w:styleId="CommentText">
    <w:name w:val="annotation text"/>
    <w:basedOn w:val="Normal"/>
    <w:link w:val="CommentTextChar"/>
    <w:uiPriority w:val="99"/>
    <w:semiHidden/>
    <w:unhideWhenUsed/>
    <w:rsid w:val="00925ACD"/>
    <w:pPr>
      <w:spacing w:line="240" w:lineRule="auto"/>
    </w:pPr>
  </w:style>
  <w:style w:type="character" w:customStyle="1" w:styleId="CommentTextChar">
    <w:name w:val="Comment Text Char"/>
    <w:basedOn w:val="DefaultParagraphFont"/>
    <w:link w:val="CommentText"/>
    <w:uiPriority w:val="99"/>
    <w:semiHidden/>
    <w:rsid w:val="00925ACD"/>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25ACD"/>
    <w:rPr>
      <w:b/>
      <w:bCs/>
    </w:rPr>
  </w:style>
  <w:style w:type="character" w:customStyle="1" w:styleId="CommentSubjectChar">
    <w:name w:val="Comment Subject Char"/>
    <w:basedOn w:val="CommentTextChar"/>
    <w:link w:val="CommentSubject"/>
    <w:uiPriority w:val="99"/>
    <w:semiHidden/>
    <w:rsid w:val="00925ACD"/>
    <w:rPr>
      <w:rFonts w:ascii="Arial" w:eastAsia="Times New Roman" w:hAnsi="Arial" w:cs="Times New Roman"/>
      <w:b/>
      <w:bCs/>
      <w:color w:val="000000"/>
      <w:sz w:val="20"/>
      <w:szCs w:val="20"/>
    </w:rPr>
  </w:style>
  <w:style w:type="paragraph" w:styleId="BalloonText">
    <w:name w:val="Balloon Text"/>
    <w:basedOn w:val="Normal"/>
    <w:link w:val="BalloonTextChar"/>
    <w:uiPriority w:val="99"/>
    <w:semiHidden/>
    <w:unhideWhenUsed/>
    <w:rsid w:val="00925A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CD"/>
    <w:rPr>
      <w:rFonts w:ascii="Tahoma" w:eastAsia="Times New Roman" w:hAnsi="Tahoma" w:cs="Tahoma"/>
      <w:color w:val="000000"/>
      <w:sz w:val="16"/>
      <w:szCs w:val="16"/>
    </w:rPr>
  </w:style>
  <w:style w:type="character" w:customStyle="1" w:styleId="Heading5Char">
    <w:name w:val="Heading 5 Char"/>
    <w:basedOn w:val="DefaultParagraphFont"/>
    <w:link w:val="Heading5"/>
    <w:uiPriority w:val="9"/>
    <w:rsid w:val="00A5134B"/>
    <w:rPr>
      <w:rFonts w:ascii="Arial" w:eastAsia="Times New Roman" w:hAnsi="Arial" w:cs="Arial"/>
      <w:b/>
      <w:bCs/>
      <w:sz w:val="20"/>
      <w:szCs w:val="20"/>
    </w:rPr>
  </w:style>
  <w:style w:type="character" w:customStyle="1" w:styleId="Heading1Char">
    <w:name w:val="Heading 1 Char"/>
    <w:basedOn w:val="DefaultParagraphFont"/>
    <w:link w:val="Heading1"/>
    <w:uiPriority w:val="9"/>
    <w:rsid w:val="00354D1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D36D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D36D2"/>
    <w:rPr>
      <w:rFonts w:ascii="Arial" w:eastAsia="Times New Roman" w:hAnsi="Arial" w:cs="Times New Roman"/>
      <w:color w:val="000000"/>
      <w:sz w:val="20"/>
      <w:szCs w:val="20"/>
    </w:rPr>
  </w:style>
  <w:style w:type="paragraph" w:styleId="Footer">
    <w:name w:val="footer"/>
    <w:basedOn w:val="Normal"/>
    <w:link w:val="FooterChar"/>
    <w:uiPriority w:val="99"/>
    <w:unhideWhenUsed/>
    <w:rsid w:val="002D36D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D36D2"/>
    <w:rPr>
      <w:rFonts w:ascii="Arial" w:eastAsia="Times New Roman" w:hAnsi="Arial" w:cs="Times New Roman"/>
      <w:color w:val="000000"/>
      <w:sz w:val="20"/>
      <w:szCs w:val="20"/>
    </w:rPr>
  </w:style>
  <w:style w:type="table" w:styleId="TableGrid">
    <w:name w:val="Table Grid"/>
    <w:basedOn w:val="TableNormal"/>
    <w:uiPriority w:val="59"/>
    <w:rsid w:val="004F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559">
      <w:bodyDiv w:val="1"/>
      <w:marLeft w:val="0"/>
      <w:marRight w:val="0"/>
      <w:marTop w:val="0"/>
      <w:marBottom w:val="0"/>
      <w:divBdr>
        <w:top w:val="none" w:sz="0" w:space="0" w:color="auto"/>
        <w:left w:val="none" w:sz="0" w:space="0" w:color="auto"/>
        <w:bottom w:val="none" w:sz="0" w:space="0" w:color="auto"/>
        <w:right w:val="none" w:sz="0" w:space="0" w:color="auto"/>
      </w:divBdr>
    </w:div>
    <w:div w:id="24409837">
      <w:bodyDiv w:val="1"/>
      <w:marLeft w:val="0"/>
      <w:marRight w:val="0"/>
      <w:marTop w:val="0"/>
      <w:marBottom w:val="0"/>
      <w:divBdr>
        <w:top w:val="none" w:sz="0" w:space="0" w:color="auto"/>
        <w:left w:val="none" w:sz="0" w:space="0" w:color="auto"/>
        <w:bottom w:val="none" w:sz="0" w:space="0" w:color="auto"/>
        <w:right w:val="none" w:sz="0" w:space="0" w:color="auto"/>
      </w:divBdr>
    </w:div>
    <w:div w:id="293105421">
      <w:bodyDiv w:val="1"/>
      <w:marLeft w:val="0"/>
      <w:marRight w:val="0"/>
      <w:marTop w:val="0"/>
      <w:marBottom w:val="0"/>
      <w:divBdr>
        <w:top w:val="none" w:sz="0" w:space="0" w:color="auto"/>
        <w:left w:val="none" w:sz="0" w:space="0" w:color="auto"/>
        <w:bottom w:val="none" w:sz="0" w:space="0" w:color="auto"/>
        <w:right w:val="none" w:sz="0" w:space="0" w:color="auto"/>
      </w:divBdr>
    </w:div>
    <w:div w:id="311060204">
      <w:bodyDiv w:val="1"/>
      <w:marLeft w:val="0"/>
      <w:marRight w:val="0"/>
      <w:marTop w:val="0"/>
      <w:marBottom w:val="0"/>
      <w:divBdr>
        <w:top w:val="none" w:sz="0" w:space="0" w:color="auto"/>
        <w:left w:val="none" w:sz="0" w:space="0" w:color="auto"/>
        <w:bottom w:val="none" w:sz="0" w:space="0" w:color="auto"/>
        <w:right w:val="none" w:sz="0" w:space="0" w:color="auto"/>
      </w:divBdr>
    </w:div>
    <w:div w:id="505099486">
      <w:bodyDiv w:val="1"/>
      <w:marLeft w:val="0"/>
      <w:marRight w:val="0"/>
      <w:marTop w:val="0"/>
      <w:marBottom w:val="0"/>
      <w:divBdr>
        <w:top w:val="none" w:sz="0" w:space="0" w:color="auto"/>
        <w:left w:val="none" w:sz="0" w:space="0" w:color="auto"/>
        <w:bottom w:val="none" w:sz="0" w:space="0" w:color="auto"/>
        <w:right w:val="none" w:sz="0" w:space="0" w:color="auto"/>
      </w:divBdr>
    </w:div>
    <w:div w:id="998071786">
      <w:bodyDiv w:val="1"/>
      <w:marLeft w:val="0"/>
      <w:marRight w:val="0"/>
      <w:marTop w:val="0"/>
      <w:marBottom w:val="0"/>
      <w:divBdr>
        <w:top w:val="none" w:sz="0" w:space="0" w:color="auto"/>
        <w:left w:val="none" w:sz="0" w:space="0" w:color="auto"/>
        <w:bottom w:val="none" w:sz="0" w:space="0" w:color="auto"/>
        <w:right w:val="none" w:sz="0" w:space="0" w:color="auto"/>
      </w:divBdr>
    </w:div>
    <w:div w:id="1308125852">
      <w:bodyDiv w:val="1"/>
      <w:marLeft w:val="0"/>
      <w:marRight w:val="0"/>
      <w:marTop w:val="0"/>
      <w:marBottom w:val="0"/>
      <w:divBdr>
        <w:top w:val="none" w:sz="0" w:space="0" w:color="auto"/>
        <w:left w:val="none" w:sz="0" w:space="0" w:color="auto"/>
        <w:bottom w:val="none" w:sz="0" w:space="0" w:color="auto"/>
        <w:right w:val="none" w:sz="0" w:space="0" w:color="auto"/>
      </w:divBdr>
    </w:div>
    <w:div w:id="1640988129">
      <w:bodyDiv w:val="1"/>
      <w:marLeft w:val="0"/>
      <w:marRight w:val="0"/>
      <w:marTop w:val="0"/>
      <w:marBottom w:val="0"/>
      <w:divBdr>
        <w:top w:val="none" w:sz="0" w:space="0" w:color="auto"/>
        <w:left w:val="none" w:sz="0" w:space="0" w:color="auto"/>
        <w:bottom w:val="none" w:sz="0" w:space="0" w:color="auto"/>
        <w:right w:val="none" w:sz="0" w:space="0" w:color="auto"/>
      </w:divBdr>
    </w:div>
    <w:div w:id="1910651110">
      <w:bodyDiv w:val="1"/>
      <w:marLeft w:val="0"/>
      <w:marRight w:val="0"/>
      <w:marTop w:val="0"/>
      <w:marBottom w:val="0"/>
      <w:divBdr>
        <w:top w:val="none" w:sz="0" w:space="0" w:color="auto"/>
        <w:left w:val="none" w:sz="0" w:space="0" w:color="auto"/>
        <w:bottom w:val="none" w:sz="0" w:space="0" w:color="auto"/>
        <w:right w:val="none" w:sz="0" w:space="0" w:color="auto"/>
      </w:divBdr>
    </w:div>
    <w:div w:id="1920820010">
      <w:bodyDiv w:val="1"/>
      <w:marLeft w:val="0"/>
      <w:marRight w:val="0"/>
      <w:marTop w:val="0"/>
      <w:marBottom w:val="0"/>
      <w:divBdr>
        <w:top w:val="none" w:sz="0" w:space="0" w:color="auto"/>
        <w:left w:val="none" w:sz="0" w:space="0" w:color="auto"/>
        <w:bottom w:val="none" w:sz="0" w:space="0" w:color="auto"/>
        <w:right w:val="none" w:sz="0" w:space="0" w:color="auto"/>
      </w:divBdr>
    </w:div>
    <w:div w:id="21051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Aitken</dc:creator>
  <cp:lastModifiedBy>Shepway</cp:lastModifiedBy>
  <cp:revision>2</cp:revision>
  <dcterms:created xsi:type="dcterms:W3CDTF">2017-12-08T16:21:00Z</dcterms:created>
  <dcterms:modified xsi:type="dcterms:W3CDTF">2017-12-08T16:21:00Z</dcterms:modified>
</cp:coreProperties>
</file>